
<file path=[Content_Types].xml><?xml version="1.0" encoding="utf-8"?>
<Types xmlns="http://schemas.openxmlformats.org/package/2006/content-types">
  <Default Extension="bin" ContentType="application/vnd.ms-word.attachedToolbar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4B4" w:rsidP="00DF44B4" w:rsidRDefault="00DF44B4">
      <w:pPr>
        <w:tabs>
          <w:tab w:val="left" w:pos="4230"/>
        </w:tabs>
        <w:jc w:val="right"/>
        <w:rPr>
          <w:noProof w:val="0"/>
        </w:rPr>
      </w:pPr>
      <w:r>
        <w:rPr>
          <w:rStyle w:val="ad"/>
          <w:b/>
          <w:bCs/>
          <w:sz w:val="26"/>
          <w:szCs w:val="26"/>
          <w:rtl/>
        </w:rPr>
        <w:t>ניתן ביום</w:t>
      </w:r>
      <w:r>
        <w:rPr>
          <w:rtl/>
        </w:rPr>
        <w:t xml:space="preserve"> </w:t>
      </w:r>
      <w:sdt>
        <w:sdtPr>
          <w:rPr>
            <w:rtl/>
          </w:rPr>
          <w:alias w:val="1456"/>
          <w:tag w:val="1456"/>
          <w:id w:val="-1452548943"/>
          <w:placeholder>
            <w:docPart w:val="48E40D848E6B4B77A84754D2F558E508"/>
          </w:placeholder>
          <w:text w:multiLine="1"/>
        </w:sdtPr>
        <w:sdtContent>
          <w:r>
            <w:rPr>
              <w:rStyle w:val="ad"/>
              <w:b/>
              <w:bCs/>
              <w:sz w:val="26"/>
              <w:szCs w:val="26"/>
              <w:rtl/>
            </w:rPr>
            <w:t>23 דצמבר 2021</w:t>
          </w:r>
        </w:sdtContent>
      </w:sdt>
    </w:p>
    <w:p w:rsidR="00DF44B4" w:rsidP="00DF44B4" w:rsidRDefault="00DF44B4">
      <w:pPr>
        <w:rPr>
          <w:rtl/>
        </w:rPr>
      </w:pPr>
    </w:p>
    <w:tbl>
      <w:tblPr>
        <w:tblStyle w:val="aa"/>
        <w:bidiVisual/>
        <w:tblW w:w="8820" w:type="dxa"/>
        <w:tblInd w:w="-2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1E0" w:firstRow="1" w:lastRow="1" w:firstColumn="1" w:lastColumn="1" w:noHBand="0" w:noVBand="0"/>
      </w:tblPr>
      <w:tblGrid>
        <w:gridCol w:w="26"/>
        <w:gridCol w:w="5014"/>
        <w:gridCol w:w="3762"/>
        <w:gridCol w:w="18"/>
      </w:tblGrid>
      <w:tr w:rsidR="00DF44B4" w:rsidTr="00DF44B4">
        <w:trPr>
          <w:gridAfter w:val="1"/>
          <w:wAfter w:w="18" w:type="dxa"/>
        </w:trPr>
        <w:tc>
          <w:tcPr>
            <w:tcW w:w="5040" w:type="dxa"/>
            <w:gridSpan w:val="2"/>
            <w:tcMar>
              <w:top w:w="113" w:type="dxa"/>
              <w:left w:w="108" w:type="dxa"/>
              <w:bottom w:w="113" w:type="dxa"/>
              <w:right w:w="108" w:type="dxa"/>
            </w:tcMar>
            <w:hideMark/>
          </w:tcPr>
          <w:p w:rsidR="00DF44B4" w:rsidRDefault="00DF44B4">
            <w:pPr>
              <w:rPr>
                <w:rFonts w:cs="Times New Roman"/>
                <w:b/>
                <w:bCs/>
                <w:sz w:val="28"/>
                <w:szCs w:val="28"/>
                <w:rtl/>
              </w:rPr>
            </w:pPr>
            <w:r>
              <w:rPr>
                <w:rFonts w:ascii="David" w:hAnsi="David"/>
                <w:b/>
                <w:bCs/>
                <w:sz w:val="28"/>
                <w:szCs w:val="28"/>
                <w:rtl/>
              </w:rPr>
              <w:t>אליהו ביטון</w:t>
            </w:r>
          </w:p>
        </w:tc>
        <w:tc>
          <w:tcPr>
            <w:tcW w:w="3762" w:type="dxa"/>
            <w:tcMar>
              <w:top w:w="113" w:type="dxa"/>
              <w:left w:w="108" w:type="dxa"/>
              <w:bottom w:w="113" w:type="dxa"/>
              <w:right w:w="108" w:type="dxa"/>
            </w:tcMar>
          </w:tcPr>
          <w:p w:rsidR="00DF44B4" w:rsidRDefault="00DF44B4">
            <w:pPr>
              <w:rPr>
                <w:rFonts w:hint="cs" w:ascii="David" w:hAnsi="David"/>
                <w:b/>
                <w:bCs/>
                <w:sz w:val="28"/>
                <w:szCs w:val="28"/>
                <w:u w:val="single"/>
                <w:rtl/>
              </w:rPr>
            </w:pPr>
            <w:r>
              <w:rPr>
                <w:rFonts w:ascii="David" w:hAnsi="David"/>
                <w:b/>
                <w:bCs/>
                <w:sz w:val="28"/>
                <w:szCs w:val="28"/>
                <w:u w:val="single"/>
                <w:rtl/>
              </w:rPr>
              <w:t xml:space="preserve">המערער בעב''ל 60708-12-19 </w:t>
            </w:r>
          </w:p>
          <w:p w:rsidR="00DF44B4" w:rsidRDefault="00DF44B4">
            <w:pPr>
              <w:jc w:val="right"/>
              <w:rPr>
                <w:rFonts w:ascii="David" w:hAnsi="David" w:cs="Times New Roman"/>
                <w:sz w:val="28"/>
                <w:szCs w:val="28"/>
                <w:u w:val="single"/>
                <w:rtl/>
              </w:rPr>
            </w:pPr>
          </w:p>
        </w:tc>
      </w:tr>
      <w:tr w:rsidR="00DF44B4" w:rsidTr="00DF44B4">
        <w:trPr>
          <w:gridAfter w:val="1"/>
          <w:wAfter w:w="18" w:type="dxa"/>
        </w:trPr>
        <w:tc>
          <w:tcPr>
            <w:tcW w:w="5040" w:type="dxa"/>
            <w:gridSpan w:val="2"/>
            <w:tcMar>
              <w:top w:w="113" w:type="dxa"/>
              <w:left w:w="108" w:type="dxa"/>
              <w:bottom w:w="113" w:type="dxa"/>
              <w:right w:w="108" w:type="dxa"/>
            </w:tcMar>
            <w:vAlign w:val="center"/>
          </w:tcPr>
          <w:p w:rsidR="00DF44B4" w:rsidRDefault="00DF44B4">
            <w:pPr>
              <w:ind w:left="26"/>
              <w:jc w:val="right"/>
              <w:rPr>
                <w:rFonts w:ascii="David" w:hAnsi="David"/>
                <w:b/>
                <w:bCs/>
                <w:sz w:val="28"/>
                <w:szCs w:val="28"/>
                <w:rtl/>
              </w:rPr>
            </w:pPr>
          </w:p>
        </w:tc>
        <w:tc>
          <w:tcPr>
            <w:tcW w:w="3762" w:type="dxa"/>
            <w:tcMar>
              <w:top w:w="113" w:type="dxa"/>
              <w:left w:w="108" w:type="dxa"/>
              <w:bottom w:w="113" w:type="dxa"/>
              <w:right w:w="108" w:type="dxa"/>
            </w:tcMar>
          </w:tcPr>
          <w:p w:rsidR="00DF44B4" w:rsidRDefault="00DF44B4">
            <w:pPr>
              <w:jc w:val="right"/>
              <w:rPr>
                <w:rFonts w:ascii="David" w:hAnsi="David"/>
                <w:sz w:val="28"/>
                <w:szCs w:val="28"/>
                <w:rtl/>
              </w:rPr>
            </w:pPr>
          </w:p>
        </w:tc>
      </w:tr>
      <w:tr w:rsidR="00DF44B4" w:rsidTr="00DF44B4">
        <w:trPr>
          <w:gridAfter w:val="1"/>
          <w:wAfter w:w="18" w:type="dxa"/>
        </w:trPr>
        <w:tc>
          <w:tcPr>
            <w:tcW w:w="5040" w:type="dxa"/>
            <w:gridSpan w:val="2"/>
            <w:tcMar>
              <w:top w:w="113" w:type="dxa"/>
              <w:left w:w="108" w:type="dxa"/>
              <w:bottom w:w="113" w:type="dxa"/>
              <w:right w:w="108" w:type="dxa"/>
            </w:tcMar>
            <w:hideMark/>
          </w:tcPr>
          <w:p w:rsidR="00DF44B4" w:rsidRDefault="00DF44B4">
            <w:pPr>
              <w:rPr>
                <w:rFonts w:cs="Times New Roman"/>
                <w:b/>
                <w:bCs/>
                <w:sz w:val="28"/>
                <w:szCs w:val="28"/>
                <w:rtl/>
              </w:rPr>
            </w:pPr>
            <w:r>
              <w:rPr>
                <w:rFonts w:ascii="David" w:hAnsi="David"/>
                <w:b/>
                <w:bCs/>
                <w:sz w:val="28"/>
                <w:szCs w:val="28"/>
                <w:rtl/>
              </w:rPr>
              <w:t>גיל רונן</w:t>
            </w:r>
          </w:p>
        </w:tc>
        <w:tc>
          <w:tcPr>
            <w:tcW w:w="3762" w:type="dxa"/>
            <w:tcMar>
              <w:top w:w="113" w:type="dxa"/>
              <w:left w:w="108" w:type="dxa"/>
              <w:bottom w:w="113" w:type="dxa"/>
              <w:right w:w="108" w:type="dxa"/>
            </w:tcMar>
            <w:hideMark/>
          </w:tcPr>
          <w:p w:rsidR="00DF44B4" w:rsidRDefault="00DF44B4">
            <w:pPr>
              <w:rPr>
                <w:rFonts w:hint="cs" w:ascii="David" w:hAnsi="David"/>
                <w:b/>
                <w:bCs/>
                <w:sz w:val="28"/>
                <w:szCs w:val="28"/>
                <w:u w:val="single"/>
                <w:rtl/>
              </w:rPr>
            </w:pPr>
            <w:r>
              <w:rPr>
                <w:rFonts w:ascii="David" w:hAnsi="David"/>
                <w:b/>
                <w:bCs/>
                <w:sz w:val="28"/>
                <w:szCs w:val="28"/>
                <w:u w:val="single"/>
                <w:rtl/>
              </w:rPr>
              <w:t xml:space="preserve">המערער בעב''ל 25076-04-20 </w:t>
            </w:r>
          </w:p>
        </w:tc>
      </w:tr>
      <w:tr w:rsidR="00DF44B4" w:rsidTr="00DF44B4">
        <w:trPr>
          <w:gridAfter w:val="1"/>
          <w:wAfter w:w="18" w:type="dxa"/>
        </w:trPr>
        <w:tc>
          <w:tcPr>
            <w:tcW w:w="5040" w:type="dxa"/>
            <w:gridSpan w:val="2"/>
            <w:tcMar>
              <w:top w:w="113" w:type="dxa"/>
              <w:left w:w="108" w:type="dxa"/>
              <w:bottom w:w="113" w:type="dxa"/>
              <w:right w:w="108" w:type="dxa"/>
            </w:tcMar>
            <w:vAlign w:val="center"/>
            <w:hideMark/>
          </w:tcPr>
          <w:p w:rsidR="00DF44B4" w:rsidRDefault="00DF44B4">
            <w:pPr>
              <w:rPr>
                <w:b/>
                <w:bCs/>
                <w:sz w:val="28"/>
                <w:szCs w:val="28"/>
                <w:rtl/>
              </w:rPr>
            </w:pPr>
            <w:r>
              <w:rPr>
                <w:rFonts w:ascii="David" w:hAnsi="David"/>
                <w:b/>
                <w:bCs/>
                <w:sz w:val="28"/>
                <w:szCs w:val="28"/>
                <w:rtl/>
              </w:rPr>
              <w:t>-</w:t>
            </w:r>
          </w:p>
        </w:tc>
        <w:tc>
          <w:tcPr>
            <w:tcW w:w="3762" w:type="dxa"/>
            <w:tcMar>
              <w:top w:w="113" w:type="dxa"/>
              <w:left w:w="108" w:type="dxa"/>
              <w:bottom w:w="113" w:type="dxa"/>
              <w:right w:w="108" w:type="dxa"/>
            </w:tcMar>
          </w:tcPr>
          <w:p w:rsidR="00DF44B4" w:rsidRDefault="00DF44B4">
            <w:pPr>
              <w:jc w:val="right"/>
              <w:rPr>
                <w:rFonts w:ascii="David" w:hAnsi="David"/>
                <w:sz w:val="28"/>
                <w:szCs w:val="28"/>
                <w:rtl/>
              </w:rPr>
            </w:pPr>
          </w:p>
        </w:tc>
      </w:tr>
      <w:tr w:rsidR="00DF44B4" w:rsidTr="00DF44B4">
        <w:trPr>
          <w:gridAfter w:val="1"/>
          <w:wAfter w:w="18" w:type="dxa"/>
          <w:trHeight w:val="407"/>
        </w:trPr>
        <w:tc>
          <w:tcPr>
            <w:tcW w:w="5040" w:type="dxa"/>
            <w:gridSpan w:val="2"/>
            <w:tcMar>
              <w:top w:w="113" w:type="dxa"/>
              <w:left w:w="108" w:type="dxa"/>
              <w:bottom w:w="113" w:type="dxa"/>
              <w:right w:w="108" w:type="dxa"/>
            </w:tcMar>
            <w:hideMark/>
          </w:tcPr>
          <w:p w:rsidR="00DF44B4" w:rsidRDefault="00DF44B4">
            <w:pPr>
              <w:rPr>
                <w:rFonts w:ascii="David" w:hAnsi="David"/>
                <w:sz w:val="28"/>
                <w:szCs w:val="28"/>
                <w:rtl/>
              </w:rPr>
            </w:pPr>
            <w:r>
              <w:rPr>
                <w:rFonts w:ascii="David" w:hAnsi="David"/>
                <w:b/>
                <w:bCs/>
                <w:sz w:val="28"/>
                <w:szCs w:val="28"/>
                <w:rtl/>
              </w:rPr>
              <w:t>המוסד לביטוח לאומי</w:t>
            </w:r>
          </w:p>
        </w:tc>
        <w:tc>
          <w:tcPr>
            <w:tcW w:w="3762" w:type="dxa"/>
            <w:tcMar>
              <w:top w:w="113" w:type="dxa"/>
              <w:left w:w="108" w:type="dxa"/>
              <w:bottom w:w="113" w:type="dxa"/>
              <w:right w:w="108" w:type="dxa"/>
            </w:tcMar>
            <w:hideMark/>
          </w:tcPr>
          <w:p w:rsidR="00DF44B4" w:rsidRDefault="00DF44B4">
            <w:pPr>
              <w:rPr>
                <w:b/>
                <w:bCs/>
                <w:sz w:val="28"/>
                <w:szCs w:val="28"/>
                <w:u w:val="single"/>
                <w:rtl/>
              </w:rPr>
            </w:pPr>
            <w:r>
              <w:rPr>
                <w:rFonts w:ascii="David" w:hAnsi="David"/>
                <w:b/>
                <w:bCs/>
                <w:sz w:val="28"/>
                <w:szCs w:val="28"/>
                <w:u w:val="single"/>
                <w:rtl/>
              </w:rPr>
              <w:t>המשיב בשני התיקים</w:t>
            </w:r>
          </w:p>
        </w:tc>
      </w:tr>
      <w:tr w:rsidR="00DF44B4" w:rsidTr="00DF44B4">
        <w:trPr>
          <w:gridBefore w:val="1"/>
          <w:wBefore w:w="26" w:type="dxa"/>
        </w:trPr>
        <w:tc>
          <w:tcPr>
            <w:tcW w:w="8794" w:type="dxa"/>
            <w:gridSpan w:val="3"/>
            <w:tcMar>
              <w:top w:w="113" w:type="dxa"/>
              <w:left w:w="108" w:type="dxa"/>
              <w:bottom w:w="113" w:type="dxa"/>
              <w:right w:w="108" w:type="dxa"/>
            </w:tcMar>
            <w:hideMark/>
          </w:tcPr>
          <w:p w:rsidR="00DF44B4" w:rsidRDefault="00DF44B4">
            <w:pPr>
              <w:ind w:left="284" w:hanging="284"/>
              <w:jc w:val="both"/>
              <w:rPr>
                <w:rFonts w:ascii="Arial" w:hAnsi="Arial" w:cs="Times New Roman"/>
                <w:b/>
                <w:bCs/>
                <w:sz w:val="28"/>
                <w:szCs w:val="28"/>
                <w:rtl/>
              </w:rPr>
            </w:pPr>
            <w:r>
              <w:rPr>
                <w:rFonts w:ascii="David" w:hAnsi="David"/>
                <w:b/>
                <w:bCs/>
                <w:sz w:val="28"/>
                <w:szCs w:val="28"/>
                <w:rtl/>
              </w:rPr>
              <w:t>בפני</w:t>
            </w:r>
            <w:r>
              <w:rPr>
                <w:rFonts w:ascii="David" w:hAnsi="David"/>
                <w:b/>
                <w:bCs/>
                <w:sz w:val="28"/>
                <w:szCs w:val="28"/>
                <w:vertAlign w:val="superscript"/>
                <w:rtl/>
              </w:rPr>
              <w:footnoteReference w:id="1"/>
            </w:r>
            <w:r>
              <w:rPr>
                <w:rFonts w:ascii="David" w:hAnsi="David"/>
                <w:b/>
                <w:bCs/>
                <w:sz w:val="28"/>
                <w:szCs w:val="28"/>
                <w:rtl/>
              </w:rPr>
              <w:t>: השופטת לאה גליקסמן, השופט אילן סופר, השופט מיכאל שפיצר</w:t>
            </w:r>
            <w:r>
              <w:rPr>
                <w:rFonts w:ascii="David" w:hAnsi="David"/>
                <w:b/>
                <w:bCs/>
                <w:sz w:val="28"/>
                <w:szCs w:val="28"/>
                <w:rtl/>
              </w:rPr>
              <w:br/>
              <w:t xml:space="preserve">נציג ציבור (עובדים) מר שלמה כפיר, נציג ציבור (מעסיקים) מר דורון קמפלר </w:t>
            </w:r>
          </w:p>
        </w:tc>
      </w:tr>
    </w:tbl>
    <w:p w:rsidR="00DF44B4" w:rsidP="00DF44B4" w:rsidRDefault="00DF44B4">
      <w:pPr>
        <w:spacing w:line="360" w:lineRule="auto"/>
        <w:jc w:val="both"/>
        <w:rPr>
          <w:rFonts w:hint="cs" w:ascii="David" w:hAnsi="David"/>
          <w:sz w:val="6"/>
          <w:szCs w:val="6"/>
          <w:rtl/>
        </w:rPr>
      </w:pPr>
      <w:r>
        <w:rPr>
          <w:rFonts w:ascii="David" w:hAnsi="David"/>
          <w:sz w:val="6"/>
          <w:szCs w:val="6"/>
          <w:rtl/>
        </w:rPr>
        <w:t>&lt;#2#&gt;</w:t>
      </w:r>
    </w:p>
    <w:p w:rsidR="00DF44B4" w:rsidP="00DF44B4" w:rsidRDefault="00DF44B4">
      <w:pPr>
        <w:rPr>
          <w:b/>
          <w:bCs/>
          <w:sz w:val="28"/>
          <w:szCs w:val="28"/>
          <w:rtl/>
        </w:rPr>
      </w:pPr>
      <w:r>
        <w:rPr>
          <w:b/>
          <w:bCs/>
          <w:sz w:val="28"/>
          <w:szCs w:val="28"/>
          <w:rtl/>
        </w:rPr>
        <w:t xml:space="preserve">ב"כ המערערים עו"ד בנימין פילובסקי </w:t>
      </w:r>
    </w:p>
    <w:p w:rsidR="00DF44B4" w:rsidP="00DF44B4" w:rsidRDefault="00DF44B4">
      <w:pPr>
        <w:rPr>
          <w:b/>
          <w:bCs/>
          <w:sz w:val="28"/>
          <w:szCs w:val="28"/>
          <w:rtl/>
        </w:rPr>
      </w:pPr>
      <w:r>
        <w:rPr>
          <w:b/>
          <w:bCs/>
          <w:sz w:val="28"/>
          <w:szCs w:val="28"/>
          <w:rtl/>
        </w:rPr>
        <w:t>ב"כ המשיב עו"ד אלי בלום ועו"ד שלומי מור</w:t>
      </w:r>
    </w:p>
    <w:p w:rsidR="00DF44B4" w:rsidP="00DF44B4" w:rsidRDefault="00DF44B4">
      <w:pPr>
        <w:jc w:val="both"/>
        <w:rPr>
          <w:rFonts w:ascii="David" w:hAnsi="David"/>
          <w:sz w:val="28"/>
          <w:szCs w:val="28"/>
          <w:rtl/>
        </w:rPr>
      </w:pPr>
    </w:p>
    <w:p w:rsidR="00DF44B4" w:rsidP="00DF44B4" w:rsidRDefault="00DF44B4">
      <w:pPr>
        <w:jc w:val="center"/>
        <w:rPr>
          <w:rFonts w:ascii="David" w:hAnsi="David"/>
          <w:b/>
          <w:bCs/>
          <w:sz w:val="36"/>
          <w:szCs w:val="36"/>
          <w:u w:val="single"/>
          <w:rtl/>
        </w:rPr>
      </w:pPr>
      <w:r>
        <w:rPr>
          <w:rFonts w:ascii="David" w:hAnsi="David"/>
          <w:b/>
          <w:bCs/>
          <w:sz w:val="36"/>
          <w:szCs w:val="36"/>
          <w:u w:val="single"/>
          <w:rtl/>
        </w:rPr>
        <w:t>פסק דין</w:t>
      </w:r>
    </w:p>
    <w:p w:rsidR="00DF44B4" w:rsidP="00DF44B4" w:rsidRDefault="00DF44B4">
      <w:pPr>
        <w:jc w:val="both"/>
        <w:rPr>
          <w:rFonts w:ascii="David" w:hAnsi="David"/>
          <w:sz w:val="28"/>
          <w:szCs w:val="28"/>
          <w:rtl/>
        </w:rPr>
      </w:pPr>
    </w:p>
    <w:p w:rsidR="00DF44B4" w:rsidP="00DF44B4" w:rsidRDefault="00DF44B4">
      <w:pPr>
        <w:spacing w:line="360" w:lineRule="auto"/>
        <w:ind w:left="360"/>
        <w:contextualSpacing/>
        <w:jc w:val="both"/>
        <w:rPr>
          <w:rFonts w:ascii="David" w:hAnsi="David"/>
          <w:b/>
          <w:bCs/>
          <w:sz w:val="32"/>
          <w:szCs w:val="32"/>
          <w:rtl/>
        </w:rPr>
      </w:pPr>
      <w:r>
        <w:rPr>
          <w:rFonts w:ascii="David" w:hAnsi="David"/>
          <w:b/>
          <w:bCs/>
          <w:sz w:val="32"/>
          <w:szCs w:val="32"/>
          <w:u w:val="single"/>
          <w:rtl/>
        </w:rPr>
        <w:t>השופטת לאה גליקסמן</w:t>
      </w:r>
      <w:r>
        <w:rPr>
          <w:rFonts w:ascii="David" w:hAnsi="David"/>
          <w:b/>
          <w:bCs/>
          <w:sz w:val="32"/>
          <w:szCs w:val="32"/>
          <w:rtl/>
        </w:rPr>
        <w:t>:</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sz w:val="28"/>
          <w:szCs w:val="28"/>
          <w:rtl/>
        </w:rPr>
        <w:t xml:space="preserve">האם נפגע עבודה שאינו יכול להשתמש בתחבורה ציבורית, אך מסוגל לנהוג ברכב בעצמו, זכאי לקצבה מיוחדת להחזקה אישית על פי תקנה 10 לתקנות הביטוח הלאומי (מענק מיוחד וקצבה מיוחדת לנכים), תשכ"ה – 1965 (להלן – </w:t>
      </w:r>
      <w:r>
        <w:rPr>
          <w:rFonts w:ascii="David" w:hAnsi="David"/>
          <w:b/>
          <w:bCs/>
          <w:sz w:val="28"/>
          <w:szCs w:val="28"/>
          <w:rtl/>
        </w:rPr>
        <w:t>תקנות קצבה מיוחדת</w:t>
      </w:r>
      <w:r>
        <w:rPr>
          <w:rFonts w:ascii="David" w:hAnsi="David"/>
          <w:sz w:val="28"/>
          <w:szCs w:val="28"/>
          <w:rtl/>
        </w:rPr>
        <w:t xml:space="preserve">)?  שאלה זו מובאת לפתחנו במסגרת שני ערעורים על פסקי דין של בית הדין האזורי לעבודה בנצרת: ב"ל 22197-12-16 אליהו ביטון - המוסד לביטוח לאומי (השופט (כתוארו אז) מוסטפא קאסם ונציגי הציבור מר אדהם פלאח ומר זאב חיות); ב"ל 12756-12-17 גיל רונן – המוסד לביטוח לאומי (השופטת רויטל טרנר ונציגי הציבור גב' יהודית שמעוני ומר דוד אביבי) . </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sz w:val="28"/>
          <w:szCs w:val="28"/>
          <w:rtl/>
        </w:rPr>
        <w:t xml:space="preserve">וזה יהיה סדר הדיון בערעור: נציג את המחלוקת ואת עניינם של המערערים ופסקי הדין של בית הדין האזורי בעניינם; בהמשך נדון בפרשנות תקנה 10 בענייננו, דהיינו האם נכה עבודה שאינו יכול להשתמש בתחבורה ציבורית, אך מסוגל לנהוג ברכב בעצמו, זכאי לקצבה מיוחדת; לבסוף נתייחס לעניינם הפרטני של המערערים. </w:t>
      </w:r>
    </w:p>
    <w:p w:rsidR="00DF44B4" w:rsidP="00DF44B4" w:rsidRDefault="00DF44B4">
      <w:pPr>
        <w:spacing w:line="360" w:lineRule="auto"/>
        <w:ind w:left="792"/>
        <w:contextualSpacing/>
        <w:jc w:val="both"/>
        <w:rPr>
          <w:rFonts w:ascii="David" w:hAnsi="David"/>
          <w:sz w:val="28"/>
          <w:szCs w:val="28"/>
        </w:rPr>
      </w:pPr>
    </w:p>
    <w:p w:rsidR="00DF44B4" w:rsidP="00DF44B4" w:rsidRDefault="00DF44B4">
      <w:pPr>
        <w:spacing w:line="360" w:lineRule="auto"/>
        <w:ind w:left="360"/>
        <w:contextualSpacing/>
        <w:jc w:val="both"/>
        <w:rPr>
          <w:rFonts w:ascii="David" w:hAnsi="David"/>
          <w:b/>
          <w:bCs/>
          <w:sz w:val="28"/>
          <w:szCs w:val="28"/>
          <w:u w:val="single"/>
        </w:rPr>
      </w:pPr>
      <w:r>
        <w:rPr>
          <w:rFonts w:ascii="David" w:hAnsi="David"/>
          <w:b/>
          <w:bCs/>
          <w:sz w:val="28"/>
          <w:szCs w:val="28"/>
          <w:u w:val="single"/>
          <w:rtl/>
        </w:rPr>
        <w:t>המחלוקת</w:t>
      </w:r>
    </w:p>
    <w:p w:rsidR="00DF44B4" w:rsidP="00DF44B4" w:rsidRDefault="00DF44B4">
      <w:pPr>
        <w:numPr>
          <w:ilvl w:val="0"/>
          <w:numId w:val="1"/>
        </w:numPr>
        <w:spacing w:line="360" w:lineRule="auto"/>
        <w:contextualSpacing/>
        <w:jc w:val="both"/>
        <w:rPr>
          <w:rFonts w:ascii="David" w:hAnsi="David"/>
          <w:b/>
          <w:bCs/>
          <w:sz w:val="28"/>
          <w:szCs w:val="28"/>
          <w:u w:val="single"/>
          <w:rtl/>
        </w:rPr>
      </w:pPr>
      <w:r>
        <w:rPr>
          <w:rFonts w:ascii="David" w:hAnsi="David"/>
          <w:sz w:val="28"/>
          <w:szCs w:val="28"/>
          <w:rtl/>
        </w:rPr>
        <w:t xml:space="preserve">על פי סעיף 112 לחוק הביטוח הלאומי [נוסח משולב], תשנ"ה – 1995 (להלן – </w:t>
      </w:r>
      <w:r>
        <w:rPr>
          <w:rFonts w:ascii="David" w:hAnsi="David"/>
          <w:b/>
          <w:bCs/>
          <w:sz w:val="28"/>
          <w:szCs w:val="28"/>
          <w:rtl/>
        </w:rPr>
        <w:t>חוק הביטוח הלאומי</w:t>
      </w:r>
      <w:r>
        <w:rPr>
          <w:rFonts w:ascii="David" w:hAnsi="David"/>
          <w:sz w:val="28"/>
          <w:szCs w:val="28"/>
          <w:rtl/>
        </w:rPr>
        <w:t xml:space="preserve"> או </w:t>
      </w:r>
      <w:r>
        <w:rPr>
          <w:rFonts w:ascii="David" w:hAnsi="David"/>
          <w:b/>
          <w:bCs/>
          <w:sz w:val="28"/>
          <w:szCs w:val="28"/>
          <w:rtl/>
        </w:rPr>
        <w:t>החוק</w:t>
      </w:r>
      <w:r>
        <w:rPr>
          <w:rFonts w:ascii="David" w:hAnsi="David"/>
          <w:sz w:val="28"/>
          <w:szCs w:val="28"/>
          <w:rtl/>
        </w:rPr>
        <w:t xml:space="preserve">) נפגע עבודה עשוי להיות זכאי </w:t>
      </w:r>
      <w:r>
        <w:rPr>
          <w:rFonts w:ascii="David" w:hAnsi="David"/>
          <w:b/>
          <w:bCs/>
          <w:sz w:val="28"/>
          <w:szCs w:val="28"/>
          <w:rtl/>
        </w:rPr>
        <w:t xml:space="preserve">בנוסף </w:t>
      </w:r>
      <w:r>
        <w:rPr>
          <w:rFonts w:ascii="David" w:hAnsi="David"/>
          <w:sz w:val="28"/>
          <w:szCs w:val="28"/>
          <w:rtl/>
        </w:rPr>
        <w:t xml:space="preserve">לקצבה או מענק נכות ל"גמלאות מיוחדות", ובכלל זאת </w:t>
      </w:r>
      <w:r>
        <w:rPr>
          <w:rFonts w:ascii="David" w:hAnsi="David"/>
          <w:b/>
          <w:bCs/>
          <w:sz w:val="28"/>
          <w:szCs w:val="28"/>
          <w:rtl/>
        </w:rPr>
        <w:t>"קצבה מיוחדת להחזקתו האישית או לשיקומו המקצועי עקב נכותו"</w:t>
      </w:r>
      <w:r>
        <w:rPr>
          <w:rFonts w:ascii="David" w:hAnsi="David"/>
          <w:sz w:val="28"/>
          <w:szCs w:val="28"/>
          <w:rtl/>
        </w:rPr>
        <w:t xml:space="preserve"> ול</w:t>
      </w:r>
      <w:r>
        <w:rPr>
          <w:rFonts w:ascii="David" w:hAnsi="David"/>
          <w:b/>
          <w:bCs/>
          <w:sz w:val="28"/>
          <w:szCs w:val="28"/>
          <w:rtl/>
        </w:rPr>
        <w:t xml:space="preserve">"מענק לסידורים חד פעמיים הנובעים מנכותו". </w:t>
      </w:r>
    </w:p>
    <w:p w:rsidR="00DF44B4" w:rsidP="00DF44B4" w:rsidRDefault="00DF44B4">
      <w:pPr>
        <w:numPr>
          <w:ilvl w:val="0"/>
          <w:numId w:val="1"/>
        </w:numPr>
        <w:spacing w:line="360" w:lineRule="auto"/>
        <w:contextualSpacing/>
        <w:jc w:val="both"/>
        <w:rPr>
          <w:rFonts w:ascii="David" w:hAnsi="David"/>
          <w:b/>
          <w:bCs/>
          <w:sz w:val="28"/>
          <w:szCs w:val="28"/>
          <w:u w:val="single"/>
        </w:rPr>
      </w:pPr>
      <w:r>
        <w:rPr>
          <w:rFonts w:ascii="David" w:hAnsi="David"/>
          <w:sz w:val="28"/>
          <w:szCs w:val="28"/>
          <w:rtl/>
        </w:rPr>
        <w:t>בכל הנוגע למימוש הזכאות לגמלאות מיוחדות הותקנו תקנות קצבה מיוחדת, במסגרתן הוסדרה, בין היתר, זכאות ל"קיצבה מיוחדת להחזקה אישית", כאמור בתקנה 10:</w:t>
      </w:r>
    </w:p>
    <w:p w:rsidR="00DF44B4" w:rsidP="00DF44B4" w:rsidRDefault="00DF44B4">
      <w:pPr>
        <w:ind w:left="1643" w:right="709" w:hanging="509"/>
        <w:contextualSpacing/>
        <w:jc w:val="both"/>
        <w:rPr>
          <w:rFonts w:ascii="David" w:hAnsi="David"/>
          <w:b/>
          <w:bCs/>
          <w:sz w:val="28"/>
          <w:szCs w:val="28"/>
        </w:rPr>
      </w:pPr>
      <w:r>
        <w:rPr>
          <w:rFonts w:ascii="David" w:hAnsi="David"/>
          <w:sz w:val="28"/>
          <w:szCs w:val="28"/>
          <w:rtl/>
        </w:rPr>
        <w:t>"</w:t>
      </w:r>
      <w:r>
        <w:rPr>
          <w:rFonts w:ascii="David" w:hAnsi="David"/>
          <w:b/>
          <w:bCs/>
          <w:sz w:val="28"/>
          <w:szCs w:val="28"/>
          <w:rtl/>
        </w:rPr>
        <w:t>(א)</w:t>
      </w:r>
      <w:r>
        <w:rPr>
          <w:rFonts w:ascii="David" w:hAnsi="David"/>
          <w:b/>
          <w:bCs/>
          <w:sz w:val="28"/>
          <w:szCs w:val="28"/>
          <w:rtl/>
        </w:rPr>
        <w:tab/>
        <w:t>נכה, שעקב נכותו זקוק לעזרה בביצוע פעולות יום יום, זכאי לקיצבה מיוחדת בסכום השווה ל-20% מהקיצבה המיוחדת המקסימלית.</w:t>
      </w:r>
    </w:p>
    <w:p w:rsidR="00DF44B4" w:rsidP="00DF44B4" w:rsidRDefault="00DF44B4">
      <w:pPr>
        <w:ind w:left="1643" w:right="709" w:hanging="509"/>
        <w:contextualSpacing/>
        <w:jc w:val="both"/>
        <w:rPr>
          <w:rFonts w:ascii="David" w:hAnsi="David"/>
          <w:b/>
          <w:bCs/>
          <w:sz w:val="28"/>
          <w:szCs w:val="28"/>
          <w:rtl/>
        </w:rPr>
      </w:pPr>
      <w:r>
        <w:rPr>
          <w:rFonts w:ascii="David" w:hAnsi="David"/>
          <w:b/>
          <w:bCs/>
          <w:sz w:val="28"/>
          <w:szCs w:val="28"/>
          <w:rtl/>
        </w:rPr>
        <w:t xml:space="preserve"> (ב)</w:t>
      </w:r>
      <w:r>
        <w:rPr>
          <w:rFonts w:ascii="David" w:hAnsi="David"/>
          <w:b/>
          <w:bCs/>
          <w:sz w:val="28"/>
          <w:szCs w:val="28"/>
          <w:rtl/>
        </w:rPr>
        <w:tab/>
        <w:t xml:space="preserve">נכה, שעקב נכותו תלוי בעזרה רבה מהזולת בביצוע רוב פעולות היום יום, או זקוק להשגחה או להסעות שלא בתחבורה ציבורית במידה רבה, זכאי לקיצבה מיוחדת בסכום השווה ל-40% מהקיצבה המיוחדת המקסימלית. </w:t>
      </w:r>
    </w:p>
    <w:p w:rsidR="00DF44B4" w:rsidP="00DF44B4" w:rsidRDefault="00DF44B4">
      <w:pPr>
        <w:ind w:left="1643" w:right="709" w:hanging="509"/>
        <w:contextualSpacing/>
        <w:jc w:val="both"/>
        <w:rPr>
          <w:rFonts w:ascii="David" w:hAnsi="David"/>
          <w:b/>
          <w:bCs/>
          <w:sz w:val="28"/>
          <w:szCs w:val="28"/>
          <w:rtl/>
        </w:rPr>
      </w:pPr>
      <w:r>
        <w:rPr>
          <w:rFonts w:ascii="David" w:hAnsi="David"/>
          <w:b/>
          <w:bCs/>
          <w:sz w:val="28"/>
          <w:szCs w:val="28"/>
          <w:rtl/>
        </w:rPr>
        <w:t xml:space="preserve"> (ג) </w:t>
      </w:r>
      <w:r>
        <w:rPr>
          <w:rFonts w:ascii="David" w:hAnsi="David"/>
          <w:b/>
          <w:bCs/>
          <w:sz w:val="28"/>
          <w:szCs w:val="28"/>
          <w:rtl/>
        </w:rPr>
        <w:tab/>
        <w:t xml:space="preserve">נכה, שעקב נכותו תלוי בעזרה רבה מהזולת בביצוע כל פעולות היום יום או הזקוק להשגחה מתמדת או הזקוק בקביעות להסעות שלא בתחבורה ציבורית, זכאי לקיצבה מיוחדת בסכום השווה ל-60% מהקיצבה המיוחדת המקסימלית. </w:t>
      </w:r>
    </w:p>
    <w:p w:rsidR="00DF44B4" w:rsidP="00DF44B4" w:rsidRDefault="00DF44B4">
      <w:pPr>
        <w:ind w:left="1643" w:right="709" w:hanging="509"/>
        <w:contextualSpacing/>
        <w:jc w:val="both"/>
        <w:rPr>
          <w:rFonts w:ascii="David" w:hAnsi="David"/>
          <w:b/>
          <w:bCs/>
          <w:sz w:val="28"/>
          <w:szCs w:val="28"/>
          <w:rtl/>
        </w:rPr>
      </w:pPr>
      <w:r>
        <w:rPr>
          <w:rFonts w:ascii="David" w:hAnsi="David"/>
          <w:b/>
          <w:bCs/>
          <w:sz w:val="28"/>
          <w:szCs w:val="28"/>
          <w:rtl/>
        </w:rPr>
        <w:t xml:space="preserve"> (ד) </w:t>
      </w:r>
      <w:r>
        <w:rPr>
          <w:rFonts w:ascii="David" w:hAnsi="David"/>
          <w:b/>
          <w:bCs/>
          <w:sz w:val="28"/>
          <w:szCs w:val="28"/>
          <w:rtl/>
        </w:rPr>
        <w:tab/>
        <w:t xml:space="preserve">נכה שעקב נכותו תלוי לחלוטין בעזרת הזולת בביצוע כל פעולות היום יום זכאי לקיצבה מיוחדת בסכום השווה לקיצבה המיוחדת המקסימלית. </w:t>
      </w:r>
    </w:p>
    <w:p w:rsidR="00DF44B4" w:rsidP="00DF44B4" w:rsidRDefault="00DF44B4">
      <w:pPr>
        <w:ind w:left="1643" w:right="709" w:hanging="509"/>
        <w:contextualSpacing/>
        <w:jc w:val="both"/>
        <w:rPr>
          <w:rFonts w:ascii="David" w:hAnsi="David"/>
          <w:b/>
          <w:bCs/>
          <w:sz w:val="28"/>
          <w:szCs w:val="28"/>
          <w:rtl/>
        </w:rPr>
      </w:pPr>
      <w:r>
        <w:rPr>
          <w:rFonts w:ascii="David" w:hAnsi="David"/>
          <w:b/>
          <w:bCs/>
          <w:sz w:val="28"/>
          <w:szCs w:val="28"/>
          <w:rtl/>
        </w:rPr>
        <w:t xml:space="preserve"> (ה) </w:t>
      </w:r>
      <w:r>
        <w:rPr>
          <w:rFonts w:ascii="David" w:hAnsi="David"/>
          <w:b/>
          <w:bCs/>
          <w:sz w:val="28"/>
          <w:szCs w:val="28"/>
          <w:rtl/>
        </w:rPr>
        <w:tab/>
        <w:t>היזקקות להסעה מיוחדת לא תובא בחשבון לגבי נכה המקבל קיצבה להחזקת רכב.</w:t>
      </w:r>
    </w:p>
    <w:p w:rsidR="00DF44B4" w:rsidP="00DF44B4" w:rsidRDefault="00DF44B4">
      <w:pPr>
        <w:ind w:left="1643" w:right="709" w:hanging="509"/>
        <w:contextualSpacing/>
        <w:jc w:val="both"/>
        <w:rPr>
          <w:rFonts w:ascii="David" w:hAnsi="David"/>
          <w:b/>
          <w:bCs/>
          <w:sz w:val="28"/>
          <w:szCs w:val="28"/>
          <w:rtl/>
        </w:rPr>
      </w:pPr>
      <w:r>
        <w:rPr>
          <w:rFonts w:ascii="David" w:hAnsi="David"/>
          <w:b/>
          <w:bCs/>
          <w:sz w:val="28"/>
          <w:szCs w:val="28"/>
          <w:rtl/>
        </w:rPr>
        <w:t xml:space="preserve"> (ו) </w:t>
      </w:r>
      <w:r>
        <w:rPr>
          <w:rFonts w:ascii="David" w:hAnsi="David"/>
          <w:b/>
          <w:bCs/>
          <w:sz w:val="28"/>
          <w:szCs w:val="28"/>
          <w:rtl/>
        </w:rPr>
        <w:tab/>
        <w:t>לענין תקנה זו ותקנות 10א, 10ב, 10ג, 10ד ו-10ה –</w:t>
      </w:r>
    </w:p>
    <w:p w:rsidR="00DF44B4" w:rsidP="00DF44B4" w:rsidRDefault="00DF44B4">
      <w:pPr>
        <w:ind w:left="2160" w:right="709" w:hanging="720"/>
        <w:contextualSpacing/>
        <w:jc w:val="both"/>
        <w:rPr>
          <w:rFonts w:ascii="David" w:hAnsi="David"/>
          <w:b/>
          <w:bCs/>
          <w:sz w:val="28"/>
          <w:szCs w:val="28"/>
          <w:rtl/>
        </w:rPr>
      </w:pPr>
      <w:r>
        <w:rPr>
          <w:rFonts w:ascii="David" w:hAnsi="David"/>
          <w:b/>
          <w:bCs/>
          <w:sz w:val="28"/>
          <w:szCs w:val="28"/>
          <w:rtl/>
        </w:rPr>
        <w:t>(1)</w:t>
      </w:r>
      <w:r>
        <w:rPr>
          <w:rFonts w:ascii="David" w:hAnsi="David"/>
          <w:b/>
          <w:bCs/>
          <w:sz w:val="28"/>
          <w:szCs w:val="28"/>
          <w:rtl/>
        </w:rPr>
        <w:tab/>
        <w:t>"נכה" – נכה עבודה שהוראות סעיף 69(א) לחוק חלות עליו;</w:t>
      </w:r>
    </w:p>
    <w:p w:rsidR="00DF44B4" w:rsidP="00DF44B4" w:rsidRDefault="00DF44B4">
      <w:pPr>
        <w:ind w:left="2160" w:right="709" w:hanging="720"/>
        <w:contextualSpacing/>
        <w:jc w:val="both"/>
        <w:rPr>
          <w:rFonts w:ascii="David" w:hAnsi="David"/>
          <w:b/>
          <w:bCs/>
          <w:sz w:val="28"/>
          <w:szCs w:val="28"/>
          <w:rtl/>
        </w:rPr>
      </w:pPr>
      <w:r>
        <w:rPr>
          <w:rFonts w:ascii="David" w:hAnsi="David"/>
          <w:b/>
          <w:bCs/>
          <w:sz w:val="28"/>
          <w:szCs w:val="28"/>
          <w:rtl/>
        </w:rPr>
        <w:t>(2)</w:t>
      </w:r>
      <w:r>
        <w:rPr>
          <w:rFonts w:ascii="David" w:hAnsi="David"/>
          <w:b/>
          <w:bCs/>
          <w:sz w:val="28"/>
          <w:szCs w:val="28"/>
          <w:rtl/>
        </w:rPr>
        <w:tab/>
        <w:t>"פעולות יום יום" – לבישה, אכילה, שליטה בהפרשות, רחצה, ניידות עצמית בבית והקשור בהן;</w:t>
      </w:r>
    </w:p>
    <w:p w:rsidR="00DF44B4" w:rsidP="00DF44B4" w:rsidRDefault="00DF44B4">
      <w:pPr>
        <w:ind w:left="2160" w:right="709" w:hanging="720"/>
        <w:contextualSpacing/>
        <w:jc w:val="both"/>
        <w:rPr>
          <w:rFonts w:ascii="David" w:hAnsi="David"/>
          <w:b/>
          <w:bCs/>
          <w:sz w:val="28"/>
          <w:szCs w:val="28"/>
          <w:rtl/>
        </w:rPr>
      </w:pPr>
      <w:r>
        <w:rPr>
          <w:rFonts w:ascii="David" w:hAnsi="David"/>
          <w:b/>
          <w:bCs/>
          <w:sz w:val="28"/>
          <w:szCs w:val="28"/>
          <w:rtl/>
        </w:rPr>
        <w:t>(3)</w:t>
      </w:r>
      <w:r>
        <w:rPr>
          <w:rFonts w:ascii="David" w:hAnsi="David"/>
          <w:b/>
          <w:bCs/>
          <w:sz w:val="28"/>
          <w:szCs w:val="28"/>
          <w:rtl/>
        </w:rPr>
        <w:tab/>
        <w:t>"השגחה" – השגחה ופיקוח על הנכה למניעת נזק או סכנה לעצמו או לאחרים;</w:t>
      </w:r>
    </w:p>
    <w:p w:rsidR="00DF44B4" w:rsidP="00DF44B4" w:rsidRDefault="00DF44B4">
      <w:pPr>
        <w:ind w:left="2160" w:right="709" w:hanging="720"/>
        <w:contextualSpacing/>
        <w:jc w:val="both"/>
        <w:rPr>
          <w:rFonts w:ascii="David" w:hAnsi="David"/>
          <w:b/>
          <w:bCs/>
          <w:sz w:val="28"/>
          <w:szCs w:val="28"/>
          <w:rtl/>
        </w:rPr>
      </w:pPr>
      <w:r>
        <w:rPr>
          <w:rFonts w:ascii="David" w:hAnsi="David"/>
          <w:sz w:val="28"/>
          <w:szCs w:val="28"/>
          <w:rtl/>
        </w:rPr>
        <w:t>(4)</w:t>
      </w:r>
      <w:r>
        <w:rPr>
          <w:rFonts w:ascii="David" w:hAnsi="David"/>
          <w:sz w:val="28"/>
          <w:szCs w:val="28"/>
          <w:rtl/>
        </w:rPr>
        <w:tab/>
      </w:r>
      <w:r>
        <w:rPr>
          <w:rFonts w:ascii="David" w:hAnsi="David"/>
          <w:b/>
          <w:bCs/>
          <w:sz w:val="28"/>
          <w:szCs w:val="28"/>
          <w:rtl/>
        </w:rPr>
        <w:t>"קיצבה מיוחדת מקסימלית" – כמשמעותה בסעיף 69(א) לחוק."</w:t>
      </w:r>
    </w:p>
    <w:p w:rsidR="00DF44B4" w:rsidP="00DF44B4" w:rsidRDefault="00DF44B4">
      <w:pPr>
        <w:ind w:left="1643" w:hanging="509"/>
        <w:contextualSpacing/>
        <w:jc w:val="both"/>
        <w:rPr>
          <w:rFonts w:ascii="David" w:hAnsi="David"/>
          <w:b/>
          <w:bCs/>
          <w:sz w:val="28"/>
          <w:szCs w:val="28"/>
          <w:rtl/>
        </w:rPr>
      </w:pPr>
    </w:p>
    <w:p w:rsidR="00DF44B4" w:rsidP="00DF44B4" w:rsidRDefault="00DF44B4">
      <w:pPr>
        <w:numPr>
          <w:ilvl w:val="0"/>
          <w:numId w:val="1"/>
        </w:numPr>
        <w:spacing w:line="360" w:lineRule="auto"/>
        <w:contextualSpacing/>
        <w:jc w:val="both"/>
        <w:rPr>
          <w:rFonts w:ascii="David" w:hAnsi="David"/>
          <w:b/>
          <w:bCs/>
          <w:sz w:val="28"/>
          <w:szCs w:val="28"/>
          <w:rtl/>
        </w:rPr>
      </w:pPr>
      <w:r>
        <w:rPr>
          <w:rFonts w:ascii="David" w:hAnsi="David"/>
          <w:sz w:val="28"/>
          <w:szCs w:val="28"/>
          <w:rtl/>
        </w:rPr>
        <w:t>המחלוקת בהליך זה סבה על תנאי הזכאות לקצבה מיוחדת על פי תקנה 10(ב) ותקנה 10(ג) בחלופה של היזקקות ל</w:t>
      </w:r>
      <w:r>
        <w:rPr>
          <w:rFonts w:ascii="David" w:hAnsi="David"/>
          <w:b/>
          <w:bCs/>
          <w:sz w:val="28"/>
          <w:szCs w:val="28"/>
          <w:rtl/>
        </w:rPr>
        <w:t xml:space="preserve">"הסעות שלא בתחבורה ציבורית" </w:t>
      </w:r>
      <w:r>
        <w:rPr>
          <w:rFonts w:ascii="David" w:hAnsi="David"/>
          <w:sz w:val="28"/>
          <w:szCs w:val="28"/>
          <w:rtl/>
        </w:rPr>
        <w:t xml:space="preserve">(להלן – </w:t>
      </w:r>
      <w:r>
        <w:rPr>
          <w:rFonts w:ascii="David" w:hAnsi="David"/>
          <w:b/>
          <w:bCs/>
          <w:sz w:val="28"/>
          <w:szCs w:val="28"/>
          <w:rtl/>
        </w:rPr>
        <w:t>חלופת תחבורה ציבורית</w:t>
      </w:r>
      <w:r>
        <w:rPr>
          <w:rFonts w:ascii="David" w:hAnsi="David"/>
          <w:sz w:val="28"/>
          <w:szCs w:val="28"/>
          <w:rtl/>
        </w:rPr>
        <w:t xml:space="preserve">). לטענת המערערים, די בכך שאינם מסוגלים להשתמש בתחבורה ציבורית כדי להקנות להם זכאות לקצבה מיוחדת, וזאת גם אם הם נוהגים בעצמם ברכב. לטענת המשיב (להלן – </w:t>
      </w:r>
      <w:r>
        <w:rPr>
          <w:rFonts w:ascii="David" w:hAnsi="David"/>
          <w:b/>
          <w:bCs/>
          <w:sz w:val="28"/>
          <w:szCs w:val="28"/>
          <w:rtl/>
        </w:rPr>
        <w:t>המוסד</w:t>
      </w:r>
      <w:r>
        <w:rPr>
          <w:rFonts w:ascii="David" w:hAnsi="David"/>
          <w:sz w:val="28"/>
          <w:szCs w:val="28"/>
          <w:rtl/>
        </w:rPr>
        <w:t xml:space="preserve">) נפגע עבודה שנוהג בעצמו ברכב אינו זכאי לקצבה מיוחדת, ותנאי לזכאות הוא שנפגע עבודה נזקק להסעה על ידי אחר.  </w:t>
      </w:r>
    </w:p>
    <w:p w:rsidR="00DF44B4" w:rsidP="00DF44B4" w:rsidRDefault="00DF44B4">
      <w:pPr>
        <w:spacing w:line="360" w:lineRule="auto"/>
        <w:ind w:left="360"/>
        <w:contextualSpacing/>
        <w:jc w:val="both"/>
        <w:rPr>
          <w:rFonts w:ascii="David" w:hAnsi="David"/>
          <w:b/>
          <w:bCs/>
          <w:sz w:val="28"/>
          <w:szCs w:val="28"/>
        </w:rPr>
      </w:pPr>
    </w:p>
    <w:p w:rsidR="00DF44B4" w:rsidP="00DF44B4" w:rsidRDefault="00DF44B4">
      <w:pPr>
        <w:spacing w:line="360" w:lineRule="auto"/>
        <w:ind w:left="360"/>
        <w:contextualSpacing/>
        <w:jc w:val="both"/>
        <w:rPr>
          <w:rFonts w:ascii="David" w:hAnsi="David"/>
          <w:b/>
          <w:bCs/>
          <w:sz w:val="28"/>
          <w:szCs w:val="28"/>
          <w:rtl/>
        </w:rPr>
      </w:pPr>
      <w:r>
        <w:rPr>
          <w:rFonts w:ascii="David" w:hAnsi="David"/>
          <w:b/>
          <w:bCs/>
          <w:sz w:val="28"/>
          <w:szCs w:val="28"/>
          <w:u w:val="single"/>
          <w:rtl/>
        </w:rPr>
        <w:t>עניינו של אליהו ביטון</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sz w:val="28"/>
          <w:szCs w:val="28"/>
          <w:rtl/>
        </w:rPr>
        <w:t xml:space="preserve">מר ביטון, יליד שנת 1960, לקה ביום 28.6.2021 באוטם שריר הלב שהוכר כפגיעה בעבודה. </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sz w:val="28"/>
          <w:szCs w:val="28"/>
          <w:rtl/>
        </w:rPr>
        <w:t xml:space="preserve">למר ביטון נקבעו 62.2% נכות רפואית, מתוכם 10% בגין ליקוי נפשי, ולאחר יישום תקנה 15 לתקנות הביטוח הלאומי (קביעת דרגת נכות לנפגעי עבודה), התשט"ז – 1956 (להלן – </w:t>
      </w:r>
      <w:r>
        <w:rPr>
          <w:rFonts w:ascii="David" w:hAnsi="David"/>
          <w:b/>
          <w:bCs/>
          <w:sz w:val="28"/>
          <w:szCs w:val="28"/>
          <w:rtl/>
        </w:rPr>
        <w:t>תקנות קביעת דרגת נכות</w:t>
      </w:r>
      <w:r>
        <w:rPr>
          <w:rFonts w:ascii="David" w:hAnsi="David"/>
          <w:sz w:val="28"/>
          <w:szCs w:val="28"/>
          <w:rtl/>
        </w:rPr>
        <w:t xml:space="preserve">) הועמדה דרגת נכותו המשוקללת על 83% לצמיתות. נציין, כי לטענתו של מר ביטון בסיכומים, לאחר מתן פסק הדין דרגת הנכות הנפשית הועמדה על 20%. </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sz w:val="28"/>
          <w:szCs w:val="28"/>
          <w:rtl/>
        </w:rPr>
        <w:t xml:space="preserve">מר ביטון הגיש תביעה לתשלום קצבה מיוחדת לנפגע עבודה, בנימוק שהוא נזקק להסעות שלא בתחבורה ציבורית, ותביעתו נדחתה על ידי המוסד. על החלטת המוסד הגיש מר ביטון את תביעתו לבית הדין האזורי. </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sz w:val="28"/>
          <w:szCs w:val="28"/>
          <w:rtl/>
        </w:rPr>
        <w:t xml:space="preserve">בית הדין האזורי דחה את התביעה, הן מהטעם שמר ביטון אינו זכאי לקצבה מיוחדת על פי הפרשנות הנכונה של תקנה 10, נוכח העובדה שהוא נוהג בעצמו ברכב, והן מהטעם שלא הוכח כי אינו יכול לעשות שימוש בתחבורה ציבורית. </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sz w:val="28"/>
          <w:szCs w:val="28"/>
          <w:rtl/>
        </w:rPr>
        <w:t>בכל הנוגע לזכאות נכה עבודה שנוהג בעצמו ברכבו לקצבה מיוחדת קבע בית הדין האזורי כך:</w:t>
      </w:r>
    </w:p>
    <w:p w:rsidR="00DF44B4" w:rsidP="00DF44B4" w:rsidRDefault="00DF44B4">
      <w:pPr>
        <w:numPr>
          <w:ilvl w:val="1"/>
          <w:numId w:val="1"/>
        </w:numPr>
        <w:spacing w:line="360" w:lineRule="auto"/>
        <w:ind w:left="992" w:hanging="632"/>
        <w:contextualSpacing/>
        <w:jc w:val="both"/>
        <w:rPr>
          <w:rFonts w:ascii="David" w:hAnsi="David"/>
          <w:sz w:val="28"/>
          <w:szCs w:val="28"/>
        </w:rPr>
      </w:pPr>
      <w:r>
        <w:rPr>
          <w:rFonts w:ascii="David" w:hAnsi="David"/>
          <w:sz w:val="28"/>
          <w:szCs w:val="28"/>
          <w:rtl/>
        </w:rPr>
        <w:t xml:space="preserve"> על תכלית תקנה 10 ניתן ללמוד מסעיף 112 לחוק, והקצבה המיוחדת באה להשתתף בהוצאות שעשויות להיגרם לנפגע העבודה בשל נכותו, בבואו לממש סידורים שונים או הליכי שיקום. </w:t>
      </w:r>
    </w:p>
    <w:p w:rsidR="00DF44B4" w:rsidP="00DF44B4" w:rsidRDefault="00DF44B4">
      <w:pPr>
        <w:numPr>
          <w:ilvl w:val="1"/>
          <w:numId w:val="1"/>
        </w:numPr>
        <w:spacing w:line="360" w:lineRule="auto"/>
        <w:ind w:left="992" w:hanging="632"/>
        <w:contextualSpacing/>
        <w:jc w:val="both"/>
        <w:rPr>
          <w:rFonts w:ascii="David" w:hAnsi="David"/>
          <w:sz w:val="28"/>
          <w:szCs w:val="28"/>
        </w:rPr>
      </w:pPr>
      <w:r>
        <w:rPr>
          <w:rFonts w:ascii="David" w:hAnsi="David"/>
          <w:sz w:val="28"/>
          <w:szCs w:val="28"/>
          <w:rtl/>
        </w:rPr>
        <w:t xml:space="preserve">תקנות 10(ב) ו- 10(ג) מתייחסות לנכה עבודה התלוי בעזרה רבה </w:t>
      </w:r>
      <w:r>
        <w:rPr>
          <w:rFonts w:ascii="David" w:hAnsi="David"/>
          <w:b/>
          <w:bCs/>
          <w:sz w:val="28"/>
          <w:szCs w:val="28"/>
          <w:rtl/>
        </w:rPr>
        <w:t>מהזולת</w:t>
      </w:r>
      <w:r>
        <w:rPr>
          <w:rFonts w:ascii="David" w:hAnsi="David"/>
          <w:sz w:val="28"/>
          <w:szCs w:val="28"/>
          <w:rtl/>
        </w:rPr>
        <w:t xml:space="preserve"> בביצוע פעולות היום יום או נזקק להשגחת </w:t>
      </w:r>
      <w:r>
        <w:rPr>
          <w:rFonts w:ascii="David" w:hAnsi="David"/>
          <w:b/>
          <w:bCs/>
          <w:sz w:val="28"/>
          <w:szCs w:val="28"/>
          <w:rtl/>
        </w:rPr>
        <w:t>הזולת</w:t>
      </w:r>
      <w:r>
        <w:rPr>
          <w:rFonts w:ascii="David" w:hAnsi="David"/>
          <w:sz w:val="28"/>
          <w:szCs w:val="28"/>
          <w:rtl/>
        </w:rPr>
        <w:t xml:space="preserve">. ברוח זו, יש לפרש גם את החלופה הנוספת, </w:t>
      </w:r>
      <w:r>
        <w:rPr>
          <w:rFonts w:ascii="David" w:hAnsi="David"/>
          <w:b/>
          <w:bCs/>
          <w:sz w:val="28"/>
          <w:szCs w:val="28"/>
          <w:rtl/>
        </w:rPr>
        <w:t>"מי שזקוק .. להסעות שלא בתחבורה ציבורית" "במידה רבה"</w:t>
      </w:r>
      <w:r>
        <w:rPr>
          <w:rFonts w:ascii="David" w:hAnsi="David"/>
          <w:sz w:val="28"/>
          <w:szCs w:val="28"/>
          <w:rtl/>
        </w:rPr>
        <w:t xml:space="preserve"> (תקנה 10(ב)) או </w:t>
      </w:r>
      <w:r>
        <w:rPr>
          <w:rFonts w:ascii="David" w:hAnsi="David"/>
          <w:b/>
          <w:bCs/>
          <w:sz w:val="28"/>
          <w:szCs w:val="28"/>
          <w:rtl/>
        </w:rPr>
        <w:t>"בקביעות"</w:t>
      </w:r>
      <w:r>
        <w:rPr>
          <w:rFonts w:ascii="David" w:hAnsi="David"/>
          <w:sz w:val="28"/>
          <w:szCs w:val="28"/>
          <w:rtl/>
        </w:rPr>
        <w:t xml:space="preserve"> (תקנה 10(ג)). ההיזקקות האמורה משמעה שהנכה תלוי בעזרת הזולת להסעות שלא בתחבורה ציבורית. לפיכך, רק הסעה </w:t>
      </w:r>
      <w:r>
        <w:rPr>
          <w:rFonts w:ascii="David" w:hAnsi="David"/>
          <w:b/>
          <w:bCs/>
          <w:sz w:val="28"/>
          <w:szCs w:val="28"/>
          <w:rtl/>
        </w:rPr>
        <w:t>על ידי אחר,</w:t>
      </w:r>
      <w:r>
        <w:rPr>
          <w:rFonts w:ascii="David" w:hAnsi="David"/>
          <w:sz w:val="28"/>
          <w:szCs w:val="28"/>
          <w:rtl/>
        </w:rPr>
        <w:t xml:space="preserve"> בין אם ברכבו של הנכה ובין בדרך אחרת שאינה הסעה בתחבורה ציבורית תזכה את הנכה בקצבה מיוחדת להחזקה אישית. הביטוי "הסעה מיוחדת" (כאמור בתקנה 10(ה) לתקנות) מלמד כי קיים צורך מעשי שהנכה יוסע באופן מיוחד, באשר הוא אינו יכול לנסוע בעצמו ברכב ואינו יכול לעשות שימוש בתחבורה ציבורית כאחד האדם בשל הנכות שנותרה לו עקב הפגיעה בעבודה.</w:t>
      </w:r>
    </w:p>
    <w:p w:rsidR="00DF44B4" w:rsidP="00DF44B4" w:rsidRDefault="00DF44B4">
      <w:pPr>
        <w:numPr>
          <w:ilvl w:val="1"/>
          <w:numId w:val="1"/>
        </w:numPr>
        <w:spacing w:line="360" w:lineRule="auto"/>
        <w:ind w:left="992" w:hanging="632"/>
        <w:contextualSpacing/>
        <w:jc w:val="both"/>
        <w:rPr>
          <w:rFonts w:ascii="David" w:hAnsi="David"/>
          <w:sz w:val="28"/>
          <w:szCs w:val="28"/>
        </w:rPr>
      </w:pPr>
      <w:r>
        <w:rPr>
          <w:rFonts w:ascii="David" w:hAnsi="David"/>
          <w:sz w:val="28"/>
          <w:szCs w:val="28"/>
          <w:rtl/>
        </w:rPr>
        <w:t xml:space="preserve">תימוכין למסקנה ניתן למצוא בפסק הדין דב"ע (ארצי) לד/33 – 0 </w:t>
      </w:r>
      <w:r>
        <w:rPr>
          <w:rFonts w:ascii="David" w:hAnsi="David"/>
          <w:b/>
          <w:bCs/>
          <w:sz w:val="28"/>
          <w:szCs w:val="28"/>
          <w:rtl/>
        </w:rPr>
        <w:t>אליעזר מלכין – המוסד לביטוח לאומי</w:t>
      </w:r>
      <w:r>
        <w:rPr>
          <w:rFonts w:ascii="David" w:hAnsi="David"/>
          <w:sz w:val="28"/>
          <w:szCs w:val="28"/>
          <w:rtl/>
        </w:rPr>
        <w:t xml:space="preserve">, פד"ע ה' 274 (1974) (להלן – </w:t>
      </w:r>
      <w:r>
        <w:rPr>
          <w:rFonts w:ascii="David" w:hAnsi="David"/>
          <w:b/>
          <w:bCs/>
          <w:sz w:val="28"/>
          <w:szCs w:val="28"/>
          <w:rtl/>
        </w:rPr>
        <w:t>עניין מלכין</w:t>
      </w:r>
      <w:r>
        <w:rPr>
          <w:rFonts w:ascii="David" w:hAnsi="David"/>
          <w:sz w:val="28"/>
          <w:szCs w:val="28"/>
          <w:rtl/>
        </w:rPr>
        <w:t>), שבו נקבע כי יש לחשב את סכום הקצבה המיוחדת על בסיס "</w:t>
      </w:r>
      <w:r>
        <w:rPr>
          <w:rFonts w:ascii="David" w:hAnsi="David"/>
          <w:b/>
          <w:bCs/>
          <w:sz w:val="28"/>
          <w:szCs w:val="28"/>
          <w:rtl/>
        </w:rPr>
        <w:t>השכר הדרוש להבטחת השירות לנכה"</w:t>
      </w:r>
      <w:r>
        <w:rPr>
          <w:rFonts w:ascii="David" w:hAnsi="David"/>
          <w:sz w:val="28"/>
          <w:szCs w:val="28"/>
          <w:rtl/>
        </w:rPr>
        <w:t xml:space="preserve">. </w:t>
      </w:r>
    </w:p>
    <w:p w:rsidR="00DF44B4" w:rsidP="00DF44B4" w:rsidRDefault="00DF44B4">
      <w:pPr>
        <w:numPr>
          <w:ilvl w:val="1"/>
          <w:numId w:val="1"/>
        </w:numPr>
        <w:spacing w:line="360" w:lineRule="auto"/>
        <w:ind w:left="992" w:hanging="632"/>
        <w:contextualSpacing/>
        <w:jc w:val="both"/>
        <w:rPr>
          <w:rFonts w:ascii="David" w:hAnsi="David"/>
          <w:sz w:val="28"/>
          <w:szCs w:val="28"/>
        </w:rPr>
      </w:pPr>
      <w:r>
        <w:rPr>
          <w:rFonts w:ascii="David" w:hAnsi="David"/>
          <w:sz w:val="28"/>
          <w:szCs w:val="28"/>
          <w:rtl/>
        </w:rPr>
        <w:t>שיעור הקצבה המיוחדת עשוי להגיע לכמה אלפי שקלים בחודש, והוא הרבה מעבר להוצאות של החזקת רכב פרטי ונהיגה בו על ידי המבוטח או שימוש בתחבורה ציבורית. גם עובדה זו מחזקת את המסקנה כי כוונת מחוקק המשנה הייתה הענקת קצבה לצורך הסעת נכה העבודה בידי אחר ולא קצבה להחזקת רכב. המחוקק ראה מקום להעניק גמלה מיוחדת למי שלצורך החזקתו האישית או שיקומו זקוק להסעה, שעלותה הנה הרבה מעבר לנסיעה בתחבורה ציבורית או נסיעה ברכב פרטי אישי, כגון נסיעה מיוחדת במוניות או כל הסעה אחרת על ידי אחר, שלא ניתן לבצעה באמצעות תחבורה ציבורית.</w:t>
      </w:r>
    </w:p>
    <w:p w:rsidR="00DF44B4" w:rsidP="00DF44B4" w:rsidRDefault="00DF44B4">
      <w:pPr>
        <w:numPr>
          <w:ilvl w:val="1"/>
          <w:numId w:val="1"/>
        </w:numPr>
        <w:spacing w:line="360" w:lineRule="auto"/>
        <w:ind w:left="992" w:hanging="632"/>
        <w:contextualSpacing/>
        <w:jc w:val="both"/>
        <w:rPr>
          <w:rFonts w:ascii="David" w:hAnsi="David"/>
          <w:sz w:val="28"/>
          <w:szCs w:val="28"/>
        </w:rPr>
      </w:pPr>
      <w:r>
        <w:rPr>
          <w:rFonts w:ascii="David" w:hAnsi="David"/>
          <w:sz w:val="28"/>
          <w:szCs w:val="28"/>
          <w:rtl/>
        </w:rPr>
        <w:t xml:space="preserve">חיזוק נוסף למסקנה ניתן למצוא בתקנה 10(ה) לתקנות, הקובעת כי </w:t>
      </w:r>
      <w:r>
        <w:rPr>
          <w:rFonts w:ascii="David" w:hAnsi="David"/>
          <w:b/>
          <w:bCs/>
          <w:sz w:val="28"/>
          <w:szCs w:val="28"/>
          <w:rtl/>
        </w:rPr>
        <w:t>"היזקקות להסעה מיוחדת לא תובא בחשבון לגבי נכה המקבל קצבה להחזקת רכב".</w:t>
      </w:r>
      <w:r>
        <w:rPr>
          <w:rFonts w:ascii="David" w:hAnsi="David"/>
          <w:sz w:val="28"/>
          <w:szCs w:val="28"/>
          <w:rtl/>
        </w:rPr>
        <w:t xml:space="preserve"> מכאן, כי נכה המקבל קצבה להחזקת רכב מקבל החזר בעבור הוצאות הנסיעה שלו כך שקצבה מיוחדת היא לכאורה כפל גמלאות, ולהיפך. </w:t>
      </w:r>
    </w:p>
    <w:p w:rsidR="00DF44B4" w:rsidP="00DF44B4" w:rsidRDefault="00DF44B4">
      <w:pPr>
        <w:numPr>
          <w:ilvl w:val="1"/>
          <w:numId w:val="1"/>
        </w:numPr>
        <w:spacing w:line="360" w:lineRule="auto"/>
        <w:ind w:left="992" w:hanging="632"/>
        <w:contextualSpacing/>
        <w:jc w:val="both"/>
        <w:rPr>
          <w:rFonts w:ascii="David" w:hAnsi="David"/>
          <w:sz w:val="28"/>
          <w:szCs w:val="28"/>
        </w:rPr>
      </w:pPr>
      <w:r>
        <w:rPr>
          <w:rFonts w:ascii="David" w:hAnsi="David"/>
          <w:sz w:val="28"/>
          <w:szCs w:val="28"/>
          <w:rtl/>
        </w:rPr>
        <w:t xml:space="preserve">אין באמור כדי לסתור את האמור בבג"ץ 6682/96 </w:t>
      </w:r>
      <w:r>
        <w:rPr>
          <w:rFonts w:ascii="David" w:hAnsi="David"/>
          <w:b/>
          <w:bCs/>
          <w:sz w:val="28"/>
          <w:szCs w:val="28"/>
          <w:rtl/>
        </w:rPr>
        <w:t>עומרי יוסף נ' בית הדין הארצי לעבודה</w:t>
      </w:r>
      <w:r>
        <w:rPr>
          <w:rFonts w:ascii="David" w:hAnsi="David"/>
          <w:sz w:val="28"/>
          <w:szCs w:val="28"/>
          <w:rtl/>
        </w:rPr>
        <w:t xml:space="preserve"> </w:t>
      </w:r>
      <w:r>
        <w:rPr>
          <w:rFonts w:ascii="David" w:hAnsi="David"/>
          <w:b/>
          <w:bCs/>
          <w:sz w:val="28"/>
          <w:szCs w:val="28"/>
          <w:rtl/>
        </w:rPr>
        <w:t>ואח'</w:t>
      </w:r>
      <w:r>
        <w:rPr>
          <w:rFonts w:ascii="David" w:hAnsi="David"/>
          <w:sz w:val="28"/>
          <w:szCs w:val="28"/>
          <w:rtl/>
        </w:rPr>
        <w:t xml:space="preserve"> (2.12.96) (להלן: </w:t>
      </w:r>
      <w:r>
        <w:rPr>
          <w:rFonts w:ascii="David" w:hAnsi="David"/>
          <w:b/>
          <w:bCs/>
          <w:sz w:val="28"/>
          <w:szCs w:val="28"/>
          <w:rtl/>
        </w:rPr>
        <w:t>"בגץ עומרי"</w:t>
      </w:r>
      <w:r>
        <w:rPr>
          <w:rFonts w:ascii="David" w:hAnsi="David"/>
          <w:sz w:val="28"/>
          <w:szCs w:val="28"/>
          <w:rtl/>
        </w:rPr>
        <w:t xml:space="preserve">), שם נקבע כך: </w:t>
      </w:r>
      <w:r>
        <w:rPr>
          <w:rFonts w:ascii="David" w:hAnsi="David"/>
          <w:b/>
          <w:bCs/>
          <w:sz w:val="28"/>
          <w:szCs w:val="28"/>
          <w:rtl/>
        </w:rPr>
        <w:t>"</w:t>
      </w:r>
      <w:r>
        <w:rPr>
          <w:rFonts w:ascii="David" w:hAnsi="David"/>
          <w:b/>
          <w:bCs/>
          <w:sz w:val="28"/>
          <w:szCs w:val="28"/>
          <w:u w:val="single"/>
          <w:rtl/>
        </w:rPr>
        <w:t>בהסכמת הצדדים</w:t>
      </w:r>
      <w:r>
        <w:rPr>
          <w:rFonts w:ascii="David" w:hAnsi="David"/>
          <w:b/>
          <w:bCs/>
          <w:sz w:val="28"/>
          <w:szCs w:val="28"/>
          <w:rtl/>
        </w:rPr>
        <w:t xml:space="preserve">, אנו עושים את הצו על תנאי למוחלט, במובן זה שפסק הדין בתיק נ"ו/0-50 יבוטל, ועניינו של העותר יוחזר לבית הדין האזורי לעבודה בחיפה, שידון בשאלה אם העותר זקוק עקב נכותו ל"הסעות שלא בתחבורה ציבורית במידה רבה", </w:t>
      </w:r>
      <w:r>
        <w:rPr>
          <w:rFonts w:ascii="David" w:hAnsi="David"/>
          <w:b/>
          <w:bCs/>
          <w:sz w:val="28"/>
          <w:szCs w:val="28"/>
          <w:u w:val="single"/>
          <w:rtl/>
        </w:rPr>
        <w:t>וזאת בהתעלם מהיותו בעל רכב</w:t>
      </w:r>
      <w:r>
        <w:rPr>
          <w:rFonts w:ascii="David" w:hAnsi="David"/>
          <w:b/>
          <w:bCs/>
          <w:sz w:val="28"/>
          <w:szCs w:val="28"/>
          <w:rtl/>
        </w:rPr>
        <w:t xml:space="preserve">" </w:t>
      </w:r>
      <w:r>
        <w:rPr>
          <w:rFonts w:ascii="David" w:hAnsi="David"/>
          <w:sz w:val="28"/>
          <w:szCs w:val="28"/>
          <w:rtl/>
        </w:rPr>
        <w:t>(ההדגשה אינה במקור – ל.ג.).</w:t>
      </w:r>
      <w:r>
        <w:rPr>
          <w:rFonts w:ascii="David" w:hAnsi="David"/>
          <w:b/>
          <w:bCs/>
          <w:sz w:val="28"/>
          <w:szCs w:val="28"/>
          <w:rtl/>
        </w:rPr>
        <w:t xml:space="preserve"> </w:t>
      </w:r>
      <w:r>
        <w:rPr>
          <w:rFonts w:ascii="David" w:hAnsi="David"/>
          <w:sz w:val="28"/>
          <w:szCs w:val="28"/>
          <w:rtl/>
        </w:rPr>
        <w:t xml:space="preserve">זאת, כיוון שפסק הדין בבג"ץ עומרי ניתן בהסכמת הצדדים, ללא הנמקה, וגם פרוטוקול הדיון לא הוצג בפני בית הדין ולכן הטעמים שעמדו מאחורי הסכמת המוסד שם אינם ידועים. מעבר לכך, בדומה לבג"ץ עומרי, אין רלוונטיות להיותו של הנכה בעל רכב. כל זמן שהנכה מוסע על ידי אחר, שאלת הבעלות על הרכב איננה רלוונטית. </w:t>
      </w:r>
    </w:p>
    <w:p w:rsidR="00DF44B4" w:rsidP="00DF44B4" w:rsidRDefault="00DF44B4">
      <w:pPr>
        <w:numPr>
          <w:ilvl w:val="1"/>
          <w:numId w:val="1"/>
        </w:numPr>
        <w:spacing w:line="360" w:lineRule="auto"/>
        <w:ind w:left="992" w:hanging="632"/>
        <w:contextualSpacing/>
        <w:jc w:val="both"/>
        <w:rPr>
          <w:rFonts w:ascii="David" w:hAnsi="David"/>
          <w:sz w:val="28"/>
          <w:szCs w:val="28"/>
          <w:rtl/>
        </w:rPr>
      </w:pPr>
      <w:r>
        <w:rPr>
          <w:rFonts w:ascii="David" w:hAnsi="David"/>
          <w:sz w:val="28"/>
          <w:szCs w:val="28"/>
          <w:rtl/>
        </w:rPr>
        <w:t xml:space="preserve">זאת ועוד. נכה עבודה שלא נמצא זכאי לקצבה מיוחדת להחזקתו האישית, בין היתר, מהסיבה שהוא מסוגל לנהוג בעצמו, עדיין יהא זכאי להחזר הוצאות שונות מהמוסד לביטוח לאומי, ובהן החזר דמי נסיעה בתחבורה ציבורית לצורך קבלת טיפול רפואי בקשר לפגיעה בעבודה (תקנה 7 לתקנות הביטוח הלאומי (מתן טיפול רפואי לנפגעי עבודה), תשכ"ח -1968) או לקצבה מיוחדת לצורך שיקומו (תקנה 10ד לתקנות קצבה מיוחדת). מהסדרים אלה עולה כי המחוקק ומחוקק המשנה היו ערים לכך שיש לנכה עבודה בעל נכות גבוהה הוצאות שונות, וניתן לכך מענה בתקנות. </w:t>
      </w:r>
    </w:p>
    <w:p w:rsidR="00DF44B4" w:rsidP="00DF44B4" w:rsidRDefault="00DF44B4">
      <w:pPr>
        <w:numPr>
          <w:ilvl w:val="0"/>
          <w:numId w:val="1"/>
        </w:numPr>
        <w:spacing w:line="360" w:lineRule="auto"/>
        <w:contextualSpacing/>
        <w:jc w:val="both"/>
        <w:rPr>
          <w:rFonts w:ascii="David" w:hAnsi="David"/>
          <w:sz w:val="28"/>
          <w:szCs w:val="28"/>
          <w:rtl/>
        </w:rPr>
      </w:pPr>
      <w:r>
        <w:rPr>
          <w:rFonts w:ascii="David" w:hAnsi="David"/>
          <w:sz w:val="28"/>
          <w:szCs w:val="28"/>
          <w:rtl/>
        </w:rPr>
        <w:t xml:space="preserve">בית הדין הוסיף וקבע כי גם אם נכה עבודה שאינו יכול להשתמש בתחבורה ציבורית ונוהג בעצמו ברכבו זכאי לקצבה מיוחדת, לא קמה למר ביטון זכאות, כיוון שלא הוכח שאינו מסוגל להשתמש בתחבורה ציבורית. </w:t>
      </w:r>
    </w:p>
    <w:p w:rsidR="00DF44B4" w:rsidP="00DF44B4" w:rsidRDefault="00DF44B4">
      <w:pPr>
        <w:numPr>
          <w:ilvl w:val="0"/>
          <w:numId w:val="1"/>
        </w:numPr>
        <w:spacing w:line="360" w:lineRule="auto"/>
        <w:contextualSpacing/>
        <w:jc w:val="both"/>
        <w:rPr>
          <w:rFonts w:ascii="David" w:hAnsi="David"/>
          <w:b/>
          <w:bCs/>
          <w:sz w:val="28"/>
          <w:szCs w:val="28"/>
        </w:rPr>
      </w:pPr>
      <w:r>
        <w:rPr>
          <w:rFonts w:ascii="David" w:hAnsi="David"/>
          <w:sz w:val="28"/>
          <w:szCs w:val="28"/>
          <w:rtl/>
        </w:rPr>
        <w:t xml:space="preserve">בכל הנוגע להתנהלות המוסד בעניין תביעתו של מר ביטון קבע בית הדין האזורי כי לא נפל בה פגם, ובכלל זאת לא נפל פגם בהסתמכות על חוות דעתו של פרופ' ריצ'נר אשר קבע בחוות דעתו כי מר ביטון מסוגל להשתמש בתחבורה ציבורית, למרות שד"ר ריצ'נר לא בדק את מר ביטון. עם זאת, בית הדין האזורי העיר כי </w:t>
      </w:r>
      <w:r>
        <w:rPr>
          <w:rFonts w:ascii="David" w:hAnsi="David"/>
          <w:b/>
          <w:bCs/>
          <w:sz w:val="28"/>
          <w:szCs w:val="28"/>
          <w:rtl/>
        </w:rPr>
        <w:t xml:space="preserve">"טוב יהיה ככל שהנתבע יפעל על מנת לקבוע כללים ברורים בכל הקשור להסעה מיוחדת". </w:t>
      </w:r>
    </w:p>
    <w:p w:rsidR="00DF44B4" w:rsidP="00DF44B4" w:rsidRDefault="00DF44B4">
      <w:pPr>
        <w:numPr>
          <w:ilvl w:val="0"/>
          <w:numId w:val="1"/>
        </w:numPr>
        <w:spacing w:line="360" w:lineRule="auto"/>
        <w:contextualSpacing/>
        <w:jc w:val="both"/>
        <w:rPr>
          <w:rFonts w:ascii="David" w:hAnsi="David"/>
          <w:sz w:val="28"/>
          <w:szCs w:val="28"/>
          <w:rtl/>
        </w:rPr>
      </w:pPr>
      <w:r>
        <w:rPr>
          <w:rFonts w:ascii="David" w:hAnsi="David"/>
          <w:sz w:val="28"/>
          <w:szCs w:val="28"/>
          <w:rtl/>
        </w:rPr>
        <w:t xml:space="preserve">לסיכום קבע בית הדין האזורי כי כיוון שמר ביטון נוהג בעצמו ברכב, כפי שאף היה לפני הפגיעה בעבודה, ומאחר שלא שוכנע כי הוא זקוק להסעה מיוחדת, הוא אינו עומד בתנאי תקנה 10 לתקנות קצבה מיוחדת. בנוסף, לא הוכח, עובדתית, כי למר ביטון מגבלה נפשית אמיתית המונעת ממנו להשתמש בתחבורה ציבורית. </w:t>
      </w:r>
    </w:p>
    <w:p w:rsidR="00DF44B4" w:rsidP="00DF44B4" w:rsidRDefault="00DF44B4">
      <w:pPr>
        <w:bidi w:val="0"/>
        <w:rPr>
          <w:rFonts w:ascii="David" w:hAnsi="David"/>
          <w:b/>
          <w:bCs/>
          <w:sz w:val="28"/>
          <w:szCs w:val="28"/>
          <w:u w:val="single"/>
        </w:rPr>
      </w:pPr>
      <w:r>
        <w:rPr>
          <w:rFonts w:ascii="David" w:hAnsi="David"/>
          <w:b/>
          <w:bCs/>
          <w:sz w:val="28"/>
          <w:szCs w:val="28"/>
          <w:u w:val="single"/>
          <w:rtl/>
        </w:rPr>
        <w:br w:type="page"/>
      </w:r>
    </w:p>
    <w:p w:rsidR="00DF44B4" w:rsidP="00DF44B4" w:rsidRDefault="00DF44B4">
      <w:pPr>
        <w:spacing w:line="360" w:lineRule="auto"/>
        <w:ind w:left="360"/>
        <w:contextualSpacing/>
        <w:jc w:val="both"/>
        <w:rPr>
          <w:rFonts w:ascii="David" w:hAnsi="David"/>
          <w:sz w:val="28"/>
          <w:szCs w:val="28"/>
        </w:rPr>
      </w:pPr>
      <w:r>
        <w:rPr>
          <w:rFonts w:ascii="David" w:hAnsi="David"/>
          <w:b/>
          <w:bCs/>
          <w:sz w:val="28"/>
          <w:szCs w:val="28"/>
          <w:u w:val="single"/>
          <w:rtl/>
        </w:rPr>
        <w:t>עניינו של גיל רונן</w:t>
      </w:r>
    </w:p>
    <w:p w:rsidR="00DF44B4" w:rsidP="00DF44B4" w:rsidRDefault="00DF44B4">
      <w:pPr>
        <w:numPr>
          <w:ilvl w:val="0"/>
          <w:numId w:val="1"/>
        </w:numPr>
        <w:spacing w:line="360" w:lineRule="auto"/>
        <w:jc w:val="both"/>
        <w:rPr>
          <w:rFonts w:ascii="David" w:hAnsi="David"/>
          <w:sz w:val="28"/>
          <w:szCs w:val="28"/>
          <w:rtl/>
        </w:rPr>
      </w:pPr>
      <w:r>
        <w:rPr>
          <w:rFonts w:ascii="David" w:hAnsi="David"/>
          <w:sz w:val="28"/>
          <w:szCs w:val="28"/>
          <w:rtl/>
        </w:rPr>
        <w:t xml:space="preserve">מר רונן, יליד שנת 1975, לקה ביום 13.3.2015 באירוע מוחי שהוכר כפגיעה בעבודה. </w:t>
      </w:r>
    </w:p>
    <w:p w:rsidR="00DF44B4" w:rsidP="00DF44B4" w:rsidRDefault="00DF44B4">
      <w:pPr>
        <w:numPr>
          <w:ilvl w:val="0"/>
          <w:numId w:val="1"/>
        </w:numPr>
        <w:spacing w:line="360" w:lineRule="auto"/>
        <w:ind w:left="357" w:hanging="357"/>
        <w:jc w:val="both"/>
        <w:rPr>
          <w:rFonts w:ascii="David" w:hAnsi="David"/>
          <w:sz w:val="28"/>
          <w:szCs w:val="28"/>
        </w:rPr>
      </w:pPr>
      <w:r>
        <w:rPr>
          <w:rFonts w:ascii="David" w:hAnsi="David"/>
          <w:sz w:val="28"/>
          <w:szCs w:val="28"/>
          <w:rtl/>
        </w:rPr>
        <w:t>בשל הפגיעה נקבעו למר רונן נכויות בשיעורים הבאים:</w:t>
      </w:r>
    </w:p>
    <w:p w:rsidR="00DF44B4" w:rsidP="00DF44B4" w:rsidRDefault="00DF44B4">
      <w:pPr>
        <w:spacing w:line="360" w:lineRule="auto"/>
        <w:ind w:firstLine="360"/>
        <w:jc w:val="both"/>
        <w:rPr>
          <w:rFonts w:ascii="David" w:hAnsi="David"/>
          <w:sz w:val="28"/>
          <w:szCs w:val="28"/>
        </w:rPr>
      </w:pPr>
      <w:r>
        <w:rPr>
          <w:rFonts w:ascii="David" w:hAnsi="David"/>
          <w:sz w:val="28"/>
          <w:szCs w:val="28"/>
          <w:rtl/>
        </w:rPr>
        <w:t>30% לפי סעיף 29(1)(ב) – חולשה בפלג גוף ימין.</w:t>
      </w:r>
    </w:p>
    <w:p w:rsidR="00DF44B4" w:rsidP="00DF44B4" w:rsidRDefault="00DF44B4">
      <w:pPr>
        <w:spacing w:line="360" w:lineRule="auto"/>
        <w:ind w:firstLine="360"/>
        <w:jc w:val="both"/>
        <w:rPr>
          <w:rFonts w:ascii="David" w:hAnsi="David"/>
          <w:sz w:val="28"/>
          <w:szCs w:val="28"/>
        </w:rPr>
      </w:pPr>
      <w:r>
        <w:rPr>
          <w:rFonts w:ascii="David" w:hAnsi="David"/>
          <w:sz w:val="28"/>
          <w:szCs w:val="28"/>
          <w:rtl/>
        </w:rPr>
        <w:t>25% לפי סעיף 33א(3) – תגובה נפשית.</w:t>
      </w:r>
    </w:p>
    <w:p w:rsidR="00DF44B4" w:rsidP="00DF44B4" w:rsidRDefault="00DF44B4">
      <w:pPr>
        <w:spacing w:line="360" w:lineRule="auto"/>
        <w:ind w:left="360"/>
        <w:jc w:val="both"/>
        <w:rPr>
          <w:rFonts w:ascii="David" w:hAnsi="David"/>
          <w:sz w:val="28"/>
          <w:szCs w:val="28"/>
          <w:rtl/>
        </w:rPr>
      </w:pPr>
      <w:r>
        <w:rPr>
          <w:rFonts w:ascii="David" w:hAnsi="David"/>
          <w:sz w:val="28"/>
          <w:szCs w:val="28"/>
          <w:rtl/>
        </w:rPr>
        <w:t xml:space="preserve">10% לפי סעיף 9(3)(ב)(1) – לחץ דם, מהם יש לייחס רק 50% להשפעה של האירוע, כך שסך הכל נקבעו 5%  בגין סעיף זה.  </w:t>
      </w:r>
    </w:p>
    <w:p w:rsidR="00DF44B4" w:rsidP="00DF44B4" w:rsidRDefault="00DF44B4">
      <w:pPr>
        <w:spacing w:line="360" w:lineRule="auto"/>
        <w:ind w:left="360"/>
        <w:jc w:val="both"/>
        <w:rPr>
          <w:rFonts w:ascii="David" w:hAnsi="David"/>
          <w:sz w:val="28"/>
          <w:szCs w:val="28"/>
          <w:rtl/>
        </w:rPr>
      </w:pPr>
      <w:r>
        <w:rPr>
          <w:rFonts w:ascii="David" w:hAnsi="David"/>
          <w:sz w:val="28"/>
          <w:szCs w:val="28"/>
          <w:rtl/>
        </w:rPr>
        <w:t>לאחר יישום תקנה 15 לתקנות קביעת דרגת נכות, הועמדה נכותו המשוקללת היציבה של מר רונן על 76% החל מיום 13.6.15.</w:t>
      </w:r>
    </w:p>
    <w:p w:rsidR="00DF44B4" w:rsidP="00DF44B4" w:rsidRDefault="00DF44B4">
      <w:pPr>
        <w:spacing w:line="360" w:lineRule="auto"/>
        <w:ind w:left="360"/>
        <w:jc w:val="both"/>
        <w:rPr>
          <w:rFonts w:ascii="David" w:hAnsi="David"/>
          <w:sz w:val="28"/>
          <w:szCs w:val="28"/>
          <w:rtl/>
        </w:rPr>
      </w:pPr>
      <w:r>
        <w:rPr>
          <w:rFonts w:ascii="David" w:hAnsi="David"/>
          <w:sz w:val="28"/>
          <w:szCs w:val="28"/>
          <w:rtl/>
        </w:rPr>
        <w:t xml:space="preserve">זאת ועוד, למר רונן  נקבעו 40% מוגבלות בניידות, ובגין כך הוא מקבל קצבת ניידות. </w:t>
      </w:r>
    </w:p>
    <w:p w:rsidR="00DF44B4" w:rsidP="00DF44B4" w:rsidRDefault="00DF44B4">
      <w:pPr>
        <w:numPr>
          <w:ilvl w:val="0"/>
          <w:numId w:val="1"/>
        </w:numPr>
        <w:spacing w:line="360" w:lineRule="auto"/>
        <w:jc w:val="both"/>
        <w:rPr>
          <w:rFonts w:ascii="David" w:hAnsi="David"/>
          <w:sz w:val="28"/>
          <w:szCs w:val="28"/>
          <w:rtl/>
        </w:rPr>
      </w:pPr>
      <w:r>
        <w:rPr>
          <w:rFonts w:ascii="David" w:hAnsi="David"/>
          <w:sz w:val="28"/>
          <w:szCs w:val="28"/>
          <w:rtl/>
        </w:rPr>
        <w:t xml:space="preserve">תביעתו של מר רונן לקצבה מיוחדת נדחתה במכתבי המוסד מיום 31.10.2017 ומיום 22.1.2018, כמפורט להלן: </w:t>
      </w:r>
    </w:p>
    <w:p w:rsidR="00DF44B4" w:rsidP="00DF44B4" w:rsidRDefault="00DF44B4">
      <w:pPr>
        <w:spacing w:line="360" w:lineRule="auto"/>
        <w:ind w:left="360"/>
        <w:jc w:val="both"/>
        <w:rPr>
          <w:rFonts w:ascii="David" w:hAnsi="David"/>
          <w:sz w:val="28"/>
          <w:szCs w:val="28"/>
        </w:rPr>
      </w:pPr>
      <w:r>
        <w:rPr>
          <w:rFonts w:ascii="David" w:hAnsi="David"/>
          <w:sz w:val="28"/>
          <w:szCs w:val="28"/>
          <w:rtl/>
        </w:rPr>
        <w:t xml:space="preserve">מכתב הדחיה מיום 31.10.2017 (להלן – </w:t>
      </w:r>
      <w:r>
        <w:rPr>
          <w:rFonts w:ascii="David" w:hAnsi="David"/>
          <w:b/>
          <w:bCs/>
          <w:sz w:val="28"/>
          <w:szCs w:val="28"/>
          <w:rtl/>
        </w:rPr>
        <w:t>המכתב הראשון</w:t>
      </w:r>
      <w:r>
        <w:rPr>
          <w:rFonts w:ascii="David" w:hAnsi="David"/>
          <w:sz w:val="28"/>
          <w:szCs w:val="28"/>
          <w:rtl/>
        </w:rPr>
        <w:t>):</w:t>
      </w:r>
    </w:p>
    <w:p w:rsidR="00DF44B4" w:rsidP="00DF44B4" w:rsidRDefault="00DF44B4">
      <w:pPr>
        <w:ind w:left="1076" w:right="709"/>
        <w:jc w:val="both"/>
        <w:rPr>
          <w:rFonts w:ascii="David" w:hAnsi="David"/>
          <w:sz w:val="28"/>
          <w:szCs w:val="28"/>
          <w:rtl/>
        </w:rPr>
      </w:pPr>
      <w:r>
        <w:rPr>
          <w:rFonts w:ascii="David" w:hAnsi="David"/>
          <w:sz w:val="28"/>
          <w:szCs w:val="28"/>
          <w:rtl/>
        </w:rPr>
        <w:t>"בתוקף תפקידי כפקיד תביעות לענייני שיקום, הריני דוחה את תביעתך לקצבה מיוחדת מיום 15.3.17.</w:t>
      </w:r>
    </w:p>
    <w:p w:rsidR="00DF44B4" w:rsidP="00DF44B4" w:rsidRDefault="00DF44B4">
      <w:pPr>
        <w:ind w:left="1076" w:right="709"/>
        <w:jc w:val="both"/>
        <w:rPr>
          <w:rFonts w:ascii="David" w:hAnsi="David"/>
          <w:sz w:val="28"/>
          <w:szCs w:val="28"/>
        </w:rPr>
      </w:pPr>
      <w:r>
        <w:rPr>
          <w:rFonts w:ascii="David" w:hAnsi="David"/>
          <w:sz w:val="28"/>
          <w:szCs w:val="28"/>
          <w:rtl/>
        </w:rPr>
        <w:t>בהתאם לסעיף 112 לחוק (מענק מיוחד וקצבה מיוחדת לנכים) תשכ"ה – 1965 נכה עבודה זכאי לקצבה מיוחדת להחזקה אישית או לשיקום המקצועי אם עונה לכללים שנקבעו בתקנות. רופא המוסד בהסתמך על המסמכים הרפואיים המצויים בתיק ועל סמך הערכת תפקוד שנעשתה לך על ידי אחות מעריכה, לא מצאו שאתה זקוק לעזרה בביצוע פעולות היומיום עקב פגיעתך בעבודה".</w:t>
      </w:r>
    </w:p>
    <w:p w:rsidR="00DF44B4" w:rsidP="00DF44B4" w:rsidRDefault="00DF44B4">
      <w:pPr>
        <w:spacing w:line="360" w:lineRule="auto"/>
        <w:ind w:left="360"/>
        <w:jc w:val="both"/>
        <w:rPr>
          <w:rFonts w:ascii="David" w:hAnsi="David"/>
          <w:sz w:val="28"/>
          <w:szCs w:val="28"/>
          <w:rtl/>
        </w:rPr>
      </w:pPr>
    </w:p>
    <w:p w:rsidR="00DF44B4" w:rsidP="00DF44B4" w:rsidRDefault="00DF44B4">
      <w:pPr>
        <w:spacing w:line="360" w:lineRule="auto"/>
        <w:ind w:left="720"/>
        <w:jc w:val="both"/>
        <w:rPr>
          <w:rFonts w:ascii="David" w:hAnsi="David"/>
          <w:sz w:val="28"/>
          <w:szCs w:val="28"/>
          <w:rtl/>
        </w:rPr>
      </w:pPr>
      <w:r>
        <w:rPr>
          <w:rFonts w:ascii="David" w:hAnsi="David"/>
          <w:sz w:val="28"/>
          <w:szCs w:val="28"/>
          <w:rtl/>
        </w:rPr>
        <w:t xml:space="preserve">מכתב הדחיה מיום 22.1.2018 (להלן – </w:t>
      </w:r>
      <w:r>
        <w:rPr>
          <w:rFonts w:ascii="David" w:hAnsi="David"/>
          <w:b/>
          <w:bCs/>
          <w:sz w:val="28"/>
          <w:szCs w:val="28"/>
          <w:rtl/>
        </w:rPr>
        <w:t>מכתב הדחיה המעודכן</w:t>
      </w:r>
      <w:r>
        <w:rPr>
          <w:rFonts w:ascii="David" w:hAnsi="David"/>
          <w:sz w:val="28"/>
          <w:szCs w:val="28"/>
          <w:rtl/>
        </w:rPr>
        <w:t>):</w:t>
      </w:r>
    </w:p>
    <w:p w:rsidR="00DF44B4" w:rsidP="00DF44B4" w:rsidRDefault="00DF44B4">
      <w:pPr>
        <w:ind w:left="1076" w:right="709"/>
        <w:jc w:val="both"/>
        <w:rPr>
          <w:rFonts w:ascii="David" w:hAnsi="David"/>
          <w:sz w:val="28"/>
          <w:szCs w:val="28"/>
          <w:rtl/>
        </w:rPr>
      </w:pPr>
      <w:r>
        <w:rPr>
          <w:rFonts w:ascii="David" w:hAnsi="David"/>
          <w:b/>
          <w:bCs/>
          <w:sz w:val="28"/>
          <w:szCs w:val="28"/>
          <w:rtl/>
        </w:rPr>
        <w:t>"</w:t>
      </w:r>
      <w:r>
        <w:rPr>
          <w:rFonts w:ascii="David" w:hAnsi="David"/>
          <w:sz w:val="28"/>
          <w:szCs w:val="28"/>
          <w:rtl/>
        </w:rPr>
        <w:t xml:space="preserve">בתוקף תפקידי כפקיד תביעות לענייני שיקום, בהמשך למכתב הדחייה מיום 31.10.17 שבו נדחתה תביעתך לקצבה מיוחדת מכח אי עמידתך בתנאי תקנה 10(א), הריני להודיעך כי תביעתך נדחית גם בגין האמור בתקנה 10(ב) ו-(ג) לתקנות הביטוח הלאומי (מענק מיוחד וקצבה מיוחדת לנכים), תשכ"ה – 1965, בכל הנוגע לחלופה העוסקת בהיזקקות הנכה לתחבורה ציבורית. </w:t>
      </w:r>
    </w:p>
    <w:p w:rsidR="00DF44B4" w:rsidP="00DF44B4" w:rsidRDefault="00DF44B4">
      <w:pPr>
        <w:ind w:left="1077" w:right="709"/>
        <w:jc w:val="both"/>
        <w:rPr>
          <w:rFonts w:ascii="David" w:hAnsi="David"/>
          <w:sz w:val="28"/>
          <w:szCs w:val="28"/>
        </w:rPr>
      </w:pPr>
      <w:r>
        <w:rPr>
          <w:rFonts w:ascii="David" w:hAnsi="David"/>
          <w:sz w:val="28"/>
          <w:szCs w:val="28"/>
          <w:rtl/>
        </w:rPr>
        <w:t xml:space="preserve">בתקנות אלו נדרש כתנאי לקבלת הקצבה כי תהיה זקוק במידה רבה או בקביעות להסעות שלא בתחבורה ציבורית. רופא המוסד בהסתמך על המסמכים הרפואיים המצויים בתיק, מצא כי אינך עונה על אף אחד מהתנאים המצוינים בסעיפים אלה". </w:t>
      </w:r>
    </w:p>
    <w:p w:rsidR="00DF44B4" w:rsidP="00DF44B4" w:rsidRDefault="00DF44B4">
      <w:pPr>
        <w:ind w:left="1077" w:right="709"/>
        <w:jc w:val="both"/>
        <w:rPr>
          <w:rFonts w:ascii="David" w:hAnsi="David"/>
          <w:sz w:val="28"/>
          <w:szCs w:val="28"/>
          <w:rtl/>
        </w:rPr>
      </w:pPr>
    </w:p>
    <w:p w:rsidR="00DF44B4" w:rsidP="00DF44B4" w:rsidRDefault="00DF44B4">
      <w:pPr>
        <w:numPr>
          <w:ilvl w:val="0"/>
          <w:numId w:val="1"/>
        </w:numPr>
        <w:spacing w:line="360" w:lineRule="auto"/>
        <w:jc w:val="both"/>
        <w:rPr>
          <w:rFonts w:ascii="David" w:hAnsi="David"/>
          <w:b/>
          <w:bCs/>
          <w:sz w:val="28"/>
          <w:szCs w:val="28"/>
          <w:rtl/>
        </w:rPr>
      </w:pPr>
      <w:r>
        <w:rPr>
          <w:rFonts w:ascii="David" w:hAnsi="David"/>
          <w:sz w:val="28"/>
          <w:szCs w:val="28"/>
          <w:rtl/>
        </w:rPr>
        <w:t xml:space="preserve">על החלטות אלה הגיש מר רונן את תביעתו לבית הדין האזורי, ותביעתו נדחתה. </w:t>
      </w:r>
    </w:p>
    <w:p w:rsidR="00DF44B4" w:rsidP="00DF44B4" w:rsidRDefault="00DF44B4">
      <w:pPr>
        <w:spacing w:line="360" w:lineRule="auto"/>
        <w:ind w:left="360"/>
        <w:jc w:val="both"/>
        <w:rPr>
          <w:rFonts w:ascii="David" w:hAnsi="David"/>
          <w:b/>
          <w:bCs/>
          <w:sz w:val="28"/>
          <w:szCs w:val="28"/>
        </w:rPr>
      </w:pPr>
      <w:r>
        <w:rPr>
          <w:rFonts w:ascii="David" w:hAnsi="David"/>
          <w:sz w:val="28"/>
          <w:szCs w:val="28"/>
          <w:rtl/>
        </w:rPr>
        <w:t xml:space="preserve">בית הדין האזורי הפנה לפסק הדין בעניינו של מר ביטון, ציטט בהרחבה את הנמקותיו, וקבע כי גם לדעתו הפרשנות הנכונה היא כי הזכאות לקצבה מיוחדת על פי החלופה של היזקקות להסעות שלא בתחבורה ציבורית קמה רק אם נכה העבודה מוסע על ידי אחר ואינו נוהג בעצמו. </w:t>
      </w:r>
    </w:p>
    <w:p w:rsidR="00DF44B4" w:rsidP="00DF44B4" w:rsidRDefault="00DF44B4">
      <w:pPr>
        <w:spacing w:line="360" w:lineRule="auto"/>
        <w:ind w:left="360"/>
        <w:jc w:val="both"/>
        <w:rPr>
          <w:rFonts w:ascii="David" w:hAnsi="David"/>
          <w:sz w:val="28"/>
          <w:szCs w:val="28"/>
        </w:rPr>
      </w:pPr>
      <w:r>
        <w:rPr>
          <w:rFonts w:ascii="David" w:hAnsi="David"/>
          <w:sz w:val="28"/>
          <w:szCs w:val="28"/>
          <w:rtl/>
        </w:rPr>
        <w:t xml:space="preserve">בבחינת עניינו הפרטני של מר רונן קבע בית הדין האזורי כי לא הוכח שמר רונן מוסע על ידי אחרים, ובכל מקרה אינו מוסע על ידי אחרים "במידה רבה" או "בקביעות", ואין הצדקה להתערב בקביעתו הרפואית של רופא המוסד כי מר רונן יכול להשתמש בתחבורה ציבורית. </w:t>
      </w:r>
    </w:p>
    <w:p w:rsidR="00DF44B4" w:rsidP="00DF44B4" w:rsidRDefault="00DF44B4">
      <w:pPr>
        <w:spacing w:line="360" w:lineRule="auto"/>
        <w:ind w:left="360"/>
        <w:jc w:val="both"/>
        <w:rPr>
          <w:rFonts w:ascii="David" w:hAnsi="David"/>
          <w:b/>
          <w:bCs/>
          <w:sz w:val="28"/>
          <w:szCs w:val="28"/>
          <w:u w:val="single"/>
        </w:rPr>
      </w:pPr>
    </w:p>
    <w:p w:rsidR="00DF44B4" w:rsidP="00DF44B4" w:rsidRDefault="00DF44B4">
      <w:pPr>
        <w:spacing w:line="360" w:lineRule="auto"/>
        <w:ind w:left="357"/>
        <w:jc w:val="both"/>
        <w:rPr>
          <w:rFonts w:ascii="David" w:hAnsi="David"/>
          <w:b/>
          <w:bCs/>
          <w:sz w:val="28"/>
          <w:szCs w:val="28"/>
          <w:rtl/>
        </w:rPr>
      </w:pPr>
      <w:r>
        <w:rPr>
          <w:rFonts w:ascii="David" w:hAnsi="David"/>
          <w:b/>
          <w:bCs/>
          <w:sz w:val="28"/>
          <w:szCs w:val="28"/>
          <w:u w:val="single"/>
          <w:rtl/>
        </w:rPr>
        <w:t>זכאות נפגע עבודה הנוהג בעצמו לקצבה מיוחדת</w:t>
      </w:r>
      <w:r>
        <w:rPr>
          <w:rFonts w:ascii="David" w:hAnsi="David"/>
          <w:b/>
          <w:bCs/>
          <w:sz w:val="28"/>
          <w:szCs w:val="28"/>
          <w:rtl/>
        </w:rPr>
        <w:t xml:space="preserve"> </w:t>
      </w:r>
    </w:p>
    <w:p w:rsidR="00DF44B4" w:rsidP="00DF44B4" w:rsidRDefault="00DF44B4">
      <w:pPr>
        <w:spacing w:line="360" w:lineRule="auto"/>
        <w:ind w:left="357"/>
        <w:jc w:val="both"/>
        <w:rPr>
          <w:rFonts w:ascii="David" w:hAnsi="David"/>
          <w:b/>
          <w:bCs/>
          <w:sz w:val="28"/>
          <w:szCs w:val="28"/>
        </w:rPr>
      </w:pPr>
      <w:r>
        <w:rPr>
          <w:rFonts w:ascii="David" w:hAnsi="David"/>
          <w:b/>
          <w:bCs/>
          <w:sz w:val="28"/>
          <w:szCs w:val="28"/>
          <w:rtl/>
        </w:rPr>
        <w:t>טענות הצדדים:</w:t>
      </w:r>
    </w:p>
    <w:p w:rsidR="00DF44B4" w:rsidP="00DF44B4" w:rsidRDefault="00DF44B4">
      <w:pPr>
        <w:numPr>
          <w:ilvl w:val="0"/>
          <w:numId w:val="1"/>
        </w:numPr>
        <w:spacing w:line="360" w:lineRule="auto"/>
        <w:jc w:val="both"/>
        <w:rPr>
          <w:rFonts w:ascii="David" w:hAnsi="David"/>
          <w:sz w:val="28"/>
          <w:szCs w:val="28"/>
        </w:rPr>
      </w:pPr>
      <w:r>
        <w:rPr>
          <w:rFonts w:ascii="David" w:hAnsi="David"/>
          <w:b/>
          <w:bCs/>
          <w:sz w:val="28"/>
          <w:szCs w:val="28"/>
          <w:rtl/>
        </w:rPr>
        <w:t>המערערים טענו</w:t>
      </w:r>
      <w:r>
        <w:rPr>
          <w:rFonts w:ascii="David" w:hAnsi="David"/>
          <w:sz w:val="28"/>
          <w:szCs w:val="28"/>
          <w:rtl/>
        </w:rPr>
        <w:t xml:space="preserve"> כי פרשנות מותבי בית הדין האזורי לתקנה 10 עומדת בניגוד גמור לפסיקתו של בית המשפט העליון בבג"ץ </w:t>
      </w:r>
      <w:r>
        <w:rPr>
          <w:rFonts w:ascii="David" w:hAnsi="David"/>
          <w:b/>
          <w:bCs/>
          <w:sz w:val="28"/>
          <w:szCs w:val="28"/>
          <w:rtl/>
        </w:rPr>
        <w:t>עומרי</w:t>
      </w:r>
      <w:r>
        <w:rPr>
          <w:rFonts w:ascii="David" w:hAnsi="David"/>
          <w:sz w:val="28"/>
          <w:szCs w:val="28"/>
          <w:rtl/>
        </w:rPr>
        <w:t xml:space="preserve"> אשר ביטל את פסק דינו של בית הדין הארצי [דב"ע (ארצי) נו/50 – 0 </w:t>
      </w:r>
      <w:r>
        <w:rPr>
          <w:rFonts w:ascii="David" w:hAnsi="David"/>
          <w:b/>
          <w:bCs/>
          <w:sz w:val="28"/>
          <w:szCs w:val="28"/>
          <w:rtl/>
        </w:rPr>
        <w:t>יוסף עומרי – המוסד לביטוח לאומי</w:t>
      </w:r>
      <w:r>
        <w:rPr>
          <w:rFonts w:ascii="David" w:hAnsi="David"/>
          <w:sz w:val="28"/>
          <w:szCs w:val="28"/>
          <w:rtl/>
        </w:rPr>
        <w:t xml:space="preserve"> (4.7.1996)], ובניגוד לפסקי דין רבים נוספים שניתנו לאחר מכן, לפיהם נכה עבודה שאינו מסוגל להשתמש בתחבורה ציבורית זכאי לקצבה מיוחדת. עמדת המוסד בהליכים אלה, שהתקבלה על ידי בית הדין האזורי, גם סותרת את עמדת המוסד עצמו בהליכים אחרים, שלפיהם על נכה עבודה שזכאי לגמלת ניידות </w:t>
      </w:r>
      <w:r>
        <w:rPr>
          <w:rFonts w:ascii="David" w:hAnsi="David"/>
          <w:b/>
          <w:bCs/>
          <w:sz w:val="28"/>
          <w:szCs w:val="28"/>
          <w:rtl/>
        </w:rPr>
        <w:t xml:space="preserve">לבחור </w:t>
      </w:r>
      <w:r>
        <w:rPr>
          <w:rFonts w:ascii="David" w:hAnsi="David"/>
          <w:sz w:val="28"/>
          <w:szCs w:val="28"/>
          <w:rtl/>
        </w:rPr>
        <w:t xml:space="preserve">בין הקצבה המיוחדת לבין קצבת ניידות, ככל שהוא זכאי לה על פי הוראות הסכם בדבר גמלת ניידות שבין ממשלת ישראל לבין המוסד לביטוח לאומי (להלן – </w:t>
      </w:r>
      <w:r>
        <w:rPr>
          <w:rFonts w:ascii="David" w:hAnsi="David"/>
          <w:b/>
          <w:bCs/>
          <w:sz w:val="28"/>
          <w:szCs w:val="28"/>
          <w:rtl/>
        </w:rPr>
        <w:t>הסכם הניידות</w:t>
      </w:r>
      <w:r>
        <w:rPr>
          <w:rFonts w:ascii="David" w:hAnsi="David"/>
          <w:sz w:val="28"/>
          <w:szCs w:val="28"/>
          <w:rtl/>
        </w:rPr>
        <w:t xml:space="preserve">). המערערים הפנו גם לפסק דינו של בית דין זה בענין </w:t>
      </w:r>
      <w:r>
        <w:rPr>
          <w:rFonts w:ascii="David" w:hAnsi="David"/>
          <w:b/>
          <w:bCs/>
          <w:sz w:val="28"/>
          <w:szCs w:val="28"/>
          <w:rtl/>
        </w:rPr>
        <w:t>ענת דנקורט</w:t>
      </w:r>
      <w:r>
        <w:rPr>
          <w:rFonts w:ascii="David" w:hAnsi="David"/>
          <w:sz w:val="28"/>
          <w:szCs w:val="28"/>
          <w:rtl/>
        </w:rPr>
        <w:t xml:space="preserve"> [עב"ל (ארצי) 39156-09-12 </w:t>
      </w:r>
      <w:r>
        <w:rPr>
          <w:rFonts w:ascii="David" w:hAnsi="David"/>
          <w:b/>
          <w:bCs/>
          <w:sz w:val="28"/>
          <w:szCs w:val="28"/>
          <w:rtl/>
        </w:rPr>
        <w:t>ענת דנקורט – המוסד לביטוח לאומי</w:t>
      </w:r>
      <w:r>
        <w:rPr>
          <w:rFonts w:ascii="David" w:hAnsi="David"/>
          <w:sz w:val="28"/>
          <w:szCs w:val="28"/>
          <w:rtl/>
        </w:rPr>
        <w:t xml:space="preserve"> (18.4.2013)]. שבו הורה בית הדין למוסד לקבוע הנחיות ברורות ומפורטות בכתב ליישום תקנות קצבה מיוחדת ולפרסמן לציבור הרחב; המוסד עשה כן רק בחודש אוגוסט 2019. למעשה, המוסד מבקש לשנות את הוראות החוק, תקנות קצבה מיוחדת ופסיקה המחייבת אותו, בדרך של שינוי מדיניות ופרשנות. מדובר בשינוי מקפח, אסור, המנוגד לחובתו של המוסד לפעול על פי עקרון החוקיות; ככל שלגישת המוסד יש לשנות את התקנות בשל העדר התאמה למציאות העכשווית או בשל כך שגובה הקצבה המיוחדת אינו עומד בהלימה לסכום הנדרש לסיוע לנכה בהחזקת רכב – עליו לפעול לתיקון התקנות, והוא אינו יכול לשנותן בדרך של פרשנות. </w:t>
      </w:r>
    </w:p>
    <w:p w:rsidR="00DF44B4" w:rsidP="00DF44B4" w:rsidRDefault="00DF44B4">
      <w:pPr>
        <w:numPr>
          <w:ilvl w:val="0"/>
          <w:numId w:val="1"/>
        </w:numPr>
        <w:spacing w:line="360" w:lineRule="auto"/>
        <w:jc w:val="both"/>
        <w:rPr>
          <w:rFonts w:cs="Arial" w:asciiTheme="minorHAnsi" w:hAnsiTheme="minorHAnsi"/>
          <w:sz w:val="28"/>
          <w:szCs w:val="28"/>
        </w:rPr>
      </w:pPr>
      <w:r>
        <w:rPr>
          <w:rFonts w:ascii="David" w:hAnsi="David"/>
          <w:sz w:val="28"/>
          <w:szCs w:val="28"/>
          <w:rtl/>
        </w:rPr>
        <w:t xml:space="preserve">לעניין פרשנות החלופה בתקנות 10(ב) ו- 10(ג) </w:t>
      </w:r>
      <w:r>
        <w:rPr>
          <w:rFonts w:ascii="David" w:hAnsi="David"/>
          <w:b/>
          <w:bCs/>
          <w:sz w:val="28"/>
          <w:szCs w:val="28"/>
          <w:rtl/>
        </w:rPr>
        <w:t>"זקוק ... להסעות שלא בתחבורה ציבורית ..."</w:t>
      </w:r>
      <w:r>
        <w:rPr>
          <w:rFonts w:ascii="David" w:hAnsi="David"/>
          <w:sz w:val="28"/>
          <w:szCs w:val="28"/>
          <w:rtl/>
        </w:rPr>
        <w:t xml:space="preserve">, </w:t>
      </w:r>
      <w:r>
        <w:rPr>
          <w:rFonts w:ascii="David" w:hAnsi="David"/>
          <w:b/>
          <w:bCs/>
          <w:sz w:val="28"/>
          <w:szCs w:val="28"/>
          <w:rtl/>
        </w:rPr>
        <w:t>טענו המערערים</w:t>
      </w:r>
      <w:r>
        <w:rPr>
          <w:rFonts w:ascii="David" w:hAnsi="David"/>
          <w:sz w:val="28"/>
          <w:szCs w:val="28"/>
          <w:rtl/>
        </w:rPr>
        <w:t xml:space="preserve"> כי לנכי עבודה קשים שאינם סיעודיים אך אינם יכולים להשתמש בתחבורה ציבורית הוצאות ניידות גבוהות; לעתים, מוגבלותם (או חלקה) נמנית עם רשימת הליקויים על פי הסכם הניידות. אולם, נוכח העובדה שהסכם הניידות כולל בעיקר פגימות ברגליים, מוגבלויות רבות אינן נמנות עם הליקויים המזכים בקצבת ניידות – פגימות נפשיות, צלקות, פגיעה במערכת החיסון, בעיות נשימה ועוד; בתקנות 10(ב) ו- 10(ג) לתקנות קצבה מיוחדת נקבעו שלושה קריטריונים </w:t>
      </w:r>
      <w:r>
        <w:rPr>
          <w:rFonts w:ascii="David" w:hAnsi="David"/>
          <w:b/>
          <w:bCs/>
          <w:sz w:val="28"/>
          <w:szCs w:val="28"/>
          <w:rtl/>
        </w:rPr>
        <w:t>עצמאיים</w:t>
      </w:r>
      <w:r>
        <w:rPr>
          <w:rFonts w:ascii="David" w:hAnsi="David"/>
          <w:sz w:val="28"/>
          <w:szCs w:val="28"/>
          <w:rtl/>
        </w:rPr>
        <w:t xml:space="preserve"> לזכאות לקצבה מיוחדת, וזאת בנוסף לכל גמלה אחרת, והם – הצורך בסיוע בפעולות היום יום (</w:t>
      </w:r>
      <w:r>
        <w:rPr>
          <w:rFonts w:ascii="David" w:hAnsi="David"/>
          <w:sz w:val="28"/>
          <w:szCs w:val="28"/>
        </w:rPr>
        <w:t>ADL</w:t>
      </w:r>
      <w:r>
        <w:rPr>
          <w:rFonts w:ascii="David" w:hAnsi="David"/>
          <w:sz w:val="28"/>
          <w:szCs w:val="28"/>
          <w:rtl/>
        </w:rPr>
        <w:t>); צורך בהשגחה; חלופת תחבורה ציבורית. חלופת תחבורה ציבורית היא חלופה ייחודית שלא קיימת בגמלאות הסיעוד ושירותים מיוחדים, שמטרתה לסייע לנכה עבודה לחזור למעגל החיים למרות נכותו; עד לפני שנת 1987 ניתן היה לסייע לנכה עבודה רק באמצעות מימון הוצאות הנסיעה שלו – ברכב או בתחבורה ציבורית, ועם תיקון התקנות בשנת 1987 הסיוע הוא באמצעות תשלום קצבה מיוחדת; ההסדר בתקנות קצבה מיוחדת אינו הסדר של החזר הוצאות בפועל, אלא קריטריון זכאות לתשלום מיוחד שיסייע לנכה בניהול חייו למרות המוגבלות; פרשנות המוסד הנסמכת על המילה "הסעה" היא בגדר "התחכמות לשונית והיתממות משפטית". כוונת המחוקק בביטוי "זקוק להסעה בתחבורה ציבורית" אינה הסעה על ידי נהג פרטי או מונית ספיישל בהכרח, אלא קביעת תנאי או מדד לבחינת המוגבלות בניידות; הזכאות לקצבה מיוחדת בחלופת תחבורה ציבורית קמה עת נכה העבודה אינו מסוגל להתנייד בתחבורה ציבורית, ואינה נשללת בשל "הפתרון" שמצא נכה העבודה לבעיה – נהיגה עצמית ברכב שמותאם למגבלותיו, שהחזקתו כרוכה בהוצאות גבוהות; תקנה 10(ה) הקובעת כי "</w:t>
      </w:r>
      <w:r>
        <w:rPr>
          <w:rFonts w:ascii="David" w:hAnsi="David"/>
          <w:b/>
          <w:bCs/>
          <w:sz w:val="28"/>
          <w:szCs w:val="28"/>
          <w:rtl/>
        </w:rPr>
        <w:t xml:space="preserve">היזקקות להסעה מיוחדת לא תובא בחשבון לגבי נכה המקבל קצבה להחזקת רכב" </w:t>
      </w:r>
      <w:r>
        <w:rPr>
          <w:rFonts w:ascii="David" w:hAnsi="David"/>
          <w:sz w:val="28"/>
          <w:szCs w:val="28"/>
          <w:rtl/>
        </w:rPr>
        <w:t xml:space="preserve">דווקא מחזקת את הפרשנות כי חלופת תחבורה ציבורית בתקנות 10(ב) ו- 10(ג) חלה גם על נכה עבודה שנוהג ברכב ונועדה גם למימון החזקת רכבו הפרטי של נכה עבודה. מסיבה זו, מחוקק המשנה ראה בקצבה להחזקת רכב (ולעמדת המוסד גם גמלת נידות) וחלופת תחבורה ציבורית כקצבאות חלופיות זו לזו, ואסר על כפל גמלאות למרות האמור בסעיף 112 לחוק, שלפיו קצבה מיוחדת תשולם בנוסף לכל גמלה אחרת. </w:t>
      </w:r>
    </w:p>
    <w:p w:rsidR="00DF44B4" w:rsidP="00DF44B4" w:rsidRDefault="00DF44B4">
      <w:pPr>
        <w:numPr>
          <w:ilvl w:val="0"/>
          <w:numId w:val="1"/>
        </w:numPr>
        <w:spacing w:line="360" w:lineRule="auto"/>
        <w:jc w:val="both"/>
        <w:rPr>
          <w:rFonts w:cs="Arial" w:asciiTheme="minorHAnsi" w:hAnsiTheme="minorHAnsi"/>
          <w:sz w:val="28"/>
          <w:szCs w:val="28"/>
        </w:rPr>
      </w:pPr>
      <w:r>
        <w:rPr>
          <w:rFonts w:ascii="David" w:hAnsi="David"/>
          <w:b/>
          <w:bCs/>
          <w:sz w:val="28"/>
          <w:szCs w:val="28"/>
          <w:rtl/>
        </w:rPr>
        <w:t>המוסד טען</w:t>
      </w:r>
      <w:r>
        <w:rPr>
          <w:rFonts w:ascii="David" w:hAnsi="David"/>
          <w:sz w:val="28"/>
          <w:szCs w:val="28"/>
          <w:rtl/>
        </w:rPr>
        <w:t xml:space="preserve"> כי ההסכמה שניתנה על ידו לביטול פסק דינו של בית הדין ארצי בבג"ץ </w:t>
      </w:r>
      <w:r>
        <w:rPr>
          <w:rFonts w:ascii="David" w:hAnsi="David"/>
          <w:b/>
          <w:bCs/>
          <w:sz w:val="28"/>
          <w:szCs w:val="28"/>
          <w:rtl/>
        </w:rPr>
        <w:t>עומרי</w:t>
      </w:r>
      <w:r>
        <w:rPr>
          <w:rFonts w:ascii="David" w:hAnsi="David"/>
          <w:sz w:val="28"/>
          <w:szCs w:val="28"/>
          <w:rtl/>
        </w:rPr>
        <w:t xml:space="preserve"> אינה כובלת את ידיו, והוא מוסמך לקבוע נהלים ומסגרת ולהעלות כל טענה בעניין הזכאות לקצבה מיוחדת של נכה עבודה שהוא נוהג בעצמו; הסכם מטיבו מתקבל בטרם התבררו כלל העובדות, וכמו כן דובר </w:t>
      </w:r>
      <w:r>
        <w:rPr>
          <w:rFonts w:ascii="David" w:hAnsi="David"/>
          <w:b/>
          <w:bCs/>
          <w:sz w:val="28"/>
          <w:szCs w:val="28"/>
          <w:rtl/>
        </w:rPr>
        <w:t xml:space="preserve">"בהיותו [של מר עומרי] בעל רכב" </w:t>
      </w:r>
      <w:r>
        <w:rPr>
          <w:rFonts w:ascii="David" w:hAnsi="David"/>
          <w:sz w:val="28"/>
          <w:szCs w:val="28"/>
          <w:rtl/>
        </w:rPr>
        <w:t xml:space="preserve">ולא נדונה הסוגיה של היזקקות להסעה בידי אחר, שהוא תנאי היסוד לזכאות לקצבה מיוחדת, ולא הייתה הסכמה לבחון את זכאותו בהתעלם מהיותו נוהג ברכב; לכן, אין להקיש מההסכמה שניתנה בעניין בג"ץ </w:t>
      </w:r>
      <w:r>
        <w:rPr>
          <w:rFonts w:ascii="David" w:hAnsi="David"/>
          <w:b/>
          <w:bCs/>
          <w:sz w:val="28"/>
          <w:szCs w:val="28"/>
          <w:rtl/>
        </w:rPr>
        <w:t>עומרי</w:t>
      </w:r>
      <w:r>
        <w:rPr>
          <w:rFonts w:ascii="David" w:hAnsi="David"/>
          <w:sz w:val="28"/>
          <w:szCs w:val="28"/>
          <w:rtl/>
        </w:rPr>
        <w:t xml:space="preserve"> לכלל התיקים; ראוי ורצוי כי המוסד יבחן את צעדיו בהתאם למקרה שעומד לפניו, לרבות קיום התייעצויות פנימיות ושינוי נהלים או מדיניות, כדי להבטיח שהוא פועל על פי הוראות החוק והדין; במסגרת הליכים משפטיים שמתנהלים בעניינם של מבוטחים שונים שעתרו לקבלת קצבה מיוחדת בעילה זהה, נערך דיון מעמיק וסיעור מוחות באגף השיקום במטרה לחדד את הקריטריונים שמחוקק המשנה קבע במסגרת התקנה, כבסיס לזכאות לקבלת הקצבה המיוחדת בחלופת תחבורה ציבורית, ובהתאם הוספה הבהרה בתדריך השיקום. אין מדובר בפרשנות חדשה אלא בהידרשות לבחינת התנאי בעילה ייחודית זו. בהקשר זה הפנה המוסד לעדותה של גב' כרמל סטינגר, מנהלת אגף השיקום במוסד, בהליך בבית הדין האזורי בעניין של רונן גיל; בחינה מעמיקה של לשון התקנה ושל תכליתה הביאה את המוסד למסקנה כי תכליתה של הקצבה המיוחדת להחזקה אישית היא להעמיד לנפגע העבודה הקשה סיוע כלכלי בגין ההוצאות המיוחדות שלהן הוא נדרש הנובעות מהיזקקותו עקב התאונה לסיוע חיצוני שעבורו הוא נדרש לשלם מכספו. בהקשר זה הצביע המוסד גם על השיעור הגבוה של קצבה מיוחדת (4,117 ₪ לזכאי לקצבה מיוחדת רמה ב' ו- 5,764 ₪ לזכאי לקצבה מיוחדת רמה ג'), וטען שאין הצדקה לשלם מכספי הציבור סכומים בשיעור זה למבוטח שנוהג בעצמו, משתכר ומקבל את הזכויות בגין אובדן כושר עבודה ומגבלות הניידות שלו (במסגרת הסכם הניידות או קצבה להחזקת רכב). </w:t>
      </w:r>
    </w:p>
    <w:p w:rsidR="00DF44B4" w:rsidP="00DF44B4" w:rsidRDefault="00DF44B4">
      <w:pPr>
        <w:numPr>
          <w:ilvl w:val="0"/>
          <w:numId w:val="1"/>
        </w:numPr>
        <w:spacing w:line="360" w:lineRule="auto"/>
        <w:jc w:val="both"/>
        <w:rPr>
          <w:rFonts w:cs="Arial" w:asciiTheme="minorHAnsi" w:hAnsiTheme="minorHAnsi"/>
          <w:sz w:val="28"/>
          <w:szCs w:val="28"/>
        </w:rPr>
      </w:pPr>
      <w:r>
        <w:rPr>
          <w:rFonts w:ascii="David" w:hAnsi="David"/>
          <w:b/>
          <w:bCs/>
          <w:sz w:val="28"/>
          <w:szCs w:val="28"/>
          <w:rtl/>
        </w:rPr>
        <w:t xml:space="preserve">המוסד הוסיף וטען </w:t>
      </w:r>
      <w:r>
        <w:rPr>
          <w:rFonts w:ascii="David" w:hAnsi="David"/>
          <w:sz w:val="28"/>
          <w:szCs w:val="28"/>
          <w:rtl/>
        </w:rPr>
        <w:t xml:space="preserve">כי תכליתה של הקצבה המיוחדת המשולמת מכוח תקנה 10 היא לסייע בהחזקה האישית של הנכה או לצורך שיקומו המקצועי, ונועדה להוות השתתפות בהוצאות בפועל שעשויות להיגרם לנכה בשל נכותו מעבודה; כשם שקצבה מיוחדת משולמת למי שנזקק לעזרת הזולת בביצוע פעולות היום יום או להשגחת הזולת, כך יש להעניק קצבה מיוחדת בחלופת תחבורה ציבורית למי שזקוק להסעה מיוחדת </w:t>
      </w:r>
      <w:r>
        <w:rPr>
          <w:rFonts w:ascii="David" w:hAnsi="David"/>
          <w:b/>
          <w:bCs/>
          <w:sz w:val="28"/>
          <w:szCs w:val="28"/>
          <w:rtl/>
        </w:rPr>
        <w:t>על ידי אחר</w:t>
      </w:r>
      <w:r>
        <w:rPr>
          <w:rFonts w:ascii="David" w:hAnsi="David"/>
          <w:sz w:val="28"/>
          <w:szCs w:val="28"/>
          <w:rtl/>
        </w:rPr>
        <w:t xml:space="preserve"> שכן הוא אינו יכול להסיע את עצמו ואינו יכול לעשות שימוש בתחבורה ציבורית; על פרשנות זו ניתן ללמוד גם מלשון התקנה, שהיא לשון סביל "הסעות", להבדיל מלשון פעיל "נסיעות"; חלופת תחבורה ציבורית בתקנה 10(ב) ובתקנה 10(ג) לתקנות קצבה מיוחדת היא אחת החלופות לתשלום קצבה </w:t>
      </w:r>
      <w:r>
        <w:rPr>
          <w:rFonts w:ascii="David" w:hAnsi="David"/>
          <w:b/>
          <w:bCs/>
          <w:sz w:val="28"/>
          <w:szCs w:val="28"/>
          <w:rtl/>
        </w:rPr>
        <w:t>להחזקה אישית</w:t>
      </w:r>
      <w:r>
        <w:rPr>
          <w:rFonts w:ascii="David" w:hAnsi="David"/>
          <w:sz w:val="28"/>
          <w:szCs w:val="28"/>
          <w:rtl/>
        </w:rPr>
        <w:t xml:space="preserve"> ואין מדובר בקצבת ניידות או בתחליף לקצבת ניידות או בתחליף לקצבת החזקת רכב; נוכח האמור, אין מקום לדון בזכאות לקצבה מיוחדת בחלופת תחבורה ציבורית כל עוד לא מתקיים בנפגע תנאי היסוד לזכאות והוא היזקקות לזולת שיסיע אותו בפועל לכל מקום שאליו יבקש להגיע והוא מנוע בשל נכותו להסתייע בתחבורה ציבורית; בתקנות ניתן מענה לקשיי הניידות של נפגע עבודה, בין בדרך של תשלום קצבת ניידות, בין בדרך של תשלום קצבת החזקת רכב ובין בדרך של הגדלת הקצבה להחזקה אישית </w:t>
      </w:r>
      <w:r>
        <w:rPr>
          <w:rFonts w:ascii="David" w:hAnsi="David"/>
          <w:sz w:val="28"/>
          <w:szCs w:val="28"/>
          <w:rtl/>
        </w:rPr>
        <w:br/>
        <w:t xml:space="preserve">ב- 10% למי שלא משולמת לו קצבת ניידות או קצבה להחזקת רכב. </w:t>
      </w:r>
    </w:p>
    <w:p w:rsidR="00DF44B4" w:rsidP="00DF44B4" w:rsidRDefault="00DF44B4">
      <w:pPr>
        <w:numPr>
          <w:ilvl w:val="0"/>
          <w:numId w:val="1"/>
        </w:numPr>
        <w:spacing w:line="360" w:lineRule="auto"/>
        <w:jc w:val="both"/>
        <w:rPr>
          <w:rFonts w:cs="Arial" w:asciiTheme="minorHAnsi" w:hAnsiTheme="minorHAnsi"/>
          <w:sz w:val="28"/>
          <w:szCs w:val="28"/>
        </w:rPr>
      </w:pPr>
      <w:r>
        <w:rPr>
          <w:rFonts w:ascii="David" w:hAnsi="David"/>
          <w:sz w:val="28"/>
          <w:szCs w:val="28"/>
          <w:rtl/>
        </w:rPr>
        <w:t xml:space="preserve">בהתייחס למקרים שהובאו על ידי המערערים בסיכומיהם שבהם שולמה קצבת מיוחדת למי שהוא בעל רכב ונוהג בעצמו טען המוסד כי כל תיק ותיק מתברר על פי נסיבותיו הספציפיות, ובהתאם לתשתית העובדתית הנפרשת בפני בית הדין, ואין להקיש לענייננו מעניינם של המבוטחים בפסקי הדין, שסבלו מפרטי ליקוי ומוגבלות שונים לחלוטין, על אף היות חלקם בעלי יכולת לנהוג; כמו כן, בהליכים אלה לא נדונה סוגיית הזכאות לקצבה מיוחדת של נכה עבודה הנוהג בעצמו, ולא נקבעו מסמרות בשאלת ניתוח לשונה של התקנה; יש לבחון בכל מקרה האם המבוטח נוהג בעצמו וכן קריטריונים נוספים – האם בוצעו התאמות לרכב; ההוצאות המיוחדות שנגרמו לנכה כתוצאה מהיזקקות להסעות שלא בתחבורה ציבורית; מידת המסוגלות/היכולת של הנכה להשתמש בתחבורה ציבורית עקב נכותו; מידת השימוש והתדירות שעושה הנכה בהסעות שלא בתחבורה ציבורית ולאיזו מטרה; מי מסיע את הנכה, באיזה אופן ולאלו צרכים. </w:t>
      </w:r>
    </w:p>
    <w:p w:rsidR="00DF44B4" w:rsidP="00DF44B4" w:rsidRDefault="00DF44B4">
      <w:pPr>
        <w:spacing w:line="360" w:lineRule="auto"/>
        <w:ind w:left="360"/>
        <w:jc w:val="both"/>
        <w:rPr>
          <w:rFonts w:ascii="David" w:hAnsi="David"/>
          <w:b/>
          <w:bCs/>
          <w:sz w:val="28"/>
          <w:szCs w:val="28"/>
        </w:rPr>
      </w:pPr>
    </w:p>
    <w:p w:rsidR="00DF44B4" w:rsidP="00DF44B4" w:rsidRDefault="00DF44B4">
      <w:pPr>
        <w:bidi w:val="0"/>
        <w:rPr>
          <w:rFonts w:ascii="David" w:hAnsi="David"/>
          <w:b/>
          <w:bCs/>
          <w:sz w:val="28"/>
          <w:szCs w:val="28"/>
          <w:rtl/>
        </w:rPr>
      </w:pPr>
      <w:r>
        <w:rPr>
          <w:rFonts w:ascii="David" w:hAnsi="David"/>
          <w:b/>
          <w:bCs/>
          <w:sz w:val="28"/>
          <w:szCs w:val="28"/>
          <w:rtl/>
        </w:rPr>
        <w:br w:type="page"/>
      </w:r>
    </w:p>
    <w:p w:rsidR="00DF44B4" w:rsidP="00DF44B4" w:rsidRDefault="00DF44B4">
      <w:pPr>
        <w:spacing w:line="360" w:lineRule="auto"/>
        <w:ind w:left="357"/>
        <w:jc w:val="both"/>
        <w:rPr>
          <w:rFonts w:ascii="David" w:hAnsi="David"/>
          <w:sz w:val="28"/>
          <w:szCs w:val="28"/>
          <w:u w:val="single"/>
          <w:rtl/>
        </w:rPr>
      </w:pPr>
      <w:r>
        <w:rPr>
          <w:rFonts w:ascii="David" w:hAnsi="David"/>
          <w:b/>
          <w:bCs/>
          <w:sz w:val="28"/>
          <w:szCs w:val="28"/>
          <w:u w:val="single"/>
          <w:rtl/>
        </w:rPr>
        <w:t>הכרעה</w:t>
      </w:r>
    </w:p>
    <w:p w:rsidR="00DF44B4" w:rsidP="00DF44B4" w:rsidRDefault="00DF44B4">
      <w:pPr>
        <w:numPr>
          <w:ilvl w:val="0"/>
          <w:numId w:val="1"/>
        </w:numPr>
        <w:spacing w:line="360" w:lineRule="auto"/>
        <w:jc w:val="both"/>
        <w:rPr>
          <w:rFonts w:ascii="David" w:hAnsi="David"/>
          <w:sz w:val="28"/>
          <w:szCs w:val="28"/>
        </w:rPr>
      </w:pPr>
      <w:r>
        <w:rPr>
          <w:rFonts w:ascii="David" w:hAnsi="David"/>
          <w:sz w:val="28"/>
          <w:szCs w:val="28"/>
          <w:rtl/>
        </w:rPr>
        <w:t>לאחר בחינת טענות הצדדים וכלל חומר התיק, אנו קובעים כי בשאלת פרשנות תקנה 10 דין הערעור להתקבל. אין לקבל את טענת המוסד שלפיה הזכאות לקצבה מיוחדת  בחלופת תחבורה ציבורית מותנית בכך שנפגע עבודה מוסע על ידי אחר, וכי ככל שנפגע העבודה נוהג בעצמו ברכבו הוא אינו זכאי לקצבה מיוחדת על פי חלופה זו. בכל הנוגע לעניינם הפרטני של המערערים – יש להחזיר את עניינם לבחינה חוזרת על ידי המוסד.</w:t>
      </w:r>
    </w:p>
    <w:p w:rsidR="00DF44B4" w:rsidP="00DF44B4" w:rsidRDefault="00DF44B4">
      <w:pPr>
        <w:spacing w:line="360" w:lineRule="auto"/>
        <w:ind w:left="360"/>
        <w:contextualSpacing/>
        <w:jc w:val="both"/>
        <w:rPr>
          <w:rFonts w:ascii="David" w:hAnsi="David"/>
          <w:b/>
          <w:bCs/>
          <w:sz w:val="28"/>
          <w:szCs w:val="28"/>
        </w:rPr>
      </w:pPr>
    </w:p>
    <w:p w:rsidR="00DF44B4" w:rsidP="00DF44B4" w:rsidRDefault="00DF44B4">
      <w:pPr>
        <w:spacing w:line="360" w:lineRule="auto"/>
        <w:ind w:left="360"/>
        <w:contextualSpacing/>
        <w:jc w:val="both"/>
        <w:rPr>
          <w:rFonts w:ascii="David" w:hAnsi="David"/>
          <w:sz w:val="28"/>
          <w:szCs w:val="28"/>
          <w:rtl/>
        </w:rPr>
      </w:pPr>
      <w:r>
        <w:rPr>
          <w:rFonts w:ascii="David" w:hAnsi="David"/>
          <w:b/>
          <w:bCs/>
          <w:sz w:val="28"/>
          <w:szCs w:val="28"/>
          <w:rtl/>
        </w:rPr>
        <w:t>התשתית הנורמטיבית</w:t>
      </w:r>
      <w:r>
        <w:rPr>
          <w:rFonts w:ascii="David" w:hAnsi="David"/>
          <w:sz w:val="28"/>
          <w:szCs w:val="28"/>
          <w:rtl/>
        </w:rPr>
        <w:t>:</w:t>
      </w:r>
    </w:p>
    <w:p w:rsidR="00DF44B4" w:rsidP="00DF44B4" w:rsidRDefault="00DF44B4">
      <w:pPr>
        <w:numPr>
          <w:ilvl w:val="0"/>
          <w:numId w:val="1"/>
        </w:numPr>
        <w:spacing w:line="360" w:lineRule="auto"/>
        <w:contextualSpacing/>
        <w:jc w:val="both"/>
        <w:rPr>
          <w:rFonts w:ascii="David" w:hAnsi="David"/>
          <w:sz w:val="28"/>
          <w:szCs w:val="28"/>
          <w:rtl/>
        </w:rPr>
      </w:pPr>
      <w:r>
        <w:rPr>
          <w:rFonts w:ascii="David" w:hAnsi="David"/>
          <w:sz w:val="28"/>
          <w:szCs w:val="28"/>
          <w:rtl/>
        </w:rPr>
        <w:t>פרק ה' לחוק הביטוח הלאומי עוסק בביטוח נפגעי עבודה, הזכאים לקבלת גמלאות שונות. סימן ג' לפרק זה עוסק בזכאות נפגעי עבודה לקבלת גמלאות בעין. כך, סעיף 86(א) לחוק קובע כדלקמן:</w:t>
      </w:r>
    </w:p>
    <w:p w:rsidR="00DF44B4" w:rsidP="00DF44B4" w:rsidRDefault="00DF44B4">
      <w:pPr>
        <w:tabs>
          <w:tab w:val="left" w:pos="7938"/>
        </w:tabs>
        <w:ind w:left="1134" w:right="709"/>
        <w:contextualSpacing/>
        <w:jc w:val="both"/>
        <w:rPr>
          <w:rFonts w:ascii="David" w:hAnsi="David"/>
          <w:b/>
          <w:bCs/>
          <w:sz w:val="28"/>
          <w:szCs w:val="28"/>
        </w:rPr>
      </w:pPr>
      <w:r>
        <w:rPr>
          <w:rFonts w:ascii="David" w:hAnsi="David"/>
          <w:sz w:val="28"/>
          <w:szCs w:val="28"/>
          <w:rtl/>
        </w:rPr>
        <w:t>"</w:t>
      </w:r>
      <w:r>
        <w:rPr>
          <w:rFonts w:ascii="David" w:hAnsi="David"/>
          <w:b/>
          <w:bCs/>
          <w:sz w:val="28"/>
          <w:szCs w:val="28"/>
          <w:rtl/>
        </w:rPr>
        <w:t>פגיעה בעבודה מזכה את המבוטח לריפוי, להחלמה, לשיקום רפואי ולשיקום מקצועי, בהתאם להוראות סימן זה.</w:t>
      </w:r>
      <w:r>
        <w:rPr>
          <w:rFonts w:ascii="David" w:hAnsi="David"/>
          <w:sz w:val="28"/>
          <w:szCs w:val="28"/>
          <w:rtl/>
        </w:rPr>
        <w:t>"</w:t>
      </w:r>
      <w:r>
        <w:rPr>
          <w:rFonts w:ascii="David" w:hAnsi="David"/>
          <w:b/>
          <w:bCs/>
          <w:sz w:val="28"/>
          <w:szCs w:val="28"/>
          <w:rtl/>
        </w:rPr>
        <w:t xml:space="preserve"> </w:t>
      </w:r>
    </w:p>
    <w:p w:rsidR="00DF44B4" w:rsidP="00DF44B4" w:rsidRDefault="00DF44B4">
      <w:pPr>
        <w:tabs>
          <w:tab w:val="left" w:pos="7938"/>
        </w:tabs>
        <w:ind w:left="1134"/>
        <w:contextualSpacing/>
        <w:jc w:val="both"/>
        <w:rPr>
          <w:rFonts w:ascii="David" w:hAnsi="David"/>
          <w:b/>
          <w:bCs/>
          <w:sz w:val="28"/>
          <w:szCs w:val="28"/>
          <w:rtl/>
        </w:rPr>
      </w:pPr>
    </w:p>
    <w:p w:rsidR="00DF44B4" w:rsidP="00DF44B4" w:rsidRDefault="00DF44B4">
      <w:pPr>
        <w:numPr>
          <w:ilvl w:val="0"/>
          <w:numId w:val="1"/>
        </w:numPr>
        <w:spacing w:line="360" w:lineRule="auto"/>
        <w:contextualSpacing/>
        <w:jc w:val="both"/>
        <w:rPr>
          <w:rFonts w:ascii="David" w:hAnsi="David"/>
          <w:sz w:val="28"/>
          <w:szCs w:val="28"/>
          <w:rtl/>
        </w:rPr>
      </w:pPr>
      <w:r>
        <w:rPr>
          <w:rFonts w:ascii="David" w:hAnsi="David"/>
          <w:sz w:val="28"/>
          <w:szCs w:val="28"/>
          <w:rtl/>
        </w:rPr>
        <w:t xml:space="preserve">לצד זכותו של נפגע עבודה </w:t>
      </w:r>
      <w:r>
        <w:rPr>
          <w:rFonts w:ascii="David" w:hAnsi="David"/>
          <w:b/>
          <w:bCs/>
          <w:sz w:val="28"/>
          <w:szCs w:val="28"/>
          <w:rtl/>
        </w:rPr>
        <w:t>לגמלאות בעין,</w:t>
      </w:r>
      <w:r>
        <w:rPr>
          <w:rFonts w:ascii="David" w:hAnsi="David"/>
          <w:sz w:val="28"/>
          <w:szCs w:val="28"/>
          <w:rtl/>
        </w:rPr>
        <w:t xml:space="preserve"> הוא זכאי לקצבאות ומענקים כספיים, על פי סימן ה' לפרק ג' לחוק, שמסדיר תשלום קצבה או מענק נכות, הנגזרים מדרגת נכותו של נפגע עבודה. על פי </w:t>
      </w:r>
      <w:r>
        <w:rPr>
          <w:rFonts w:ascii="David" w:hAnsi="David"/>
          <w:b/>
          <w:bCs/>
          <w:sz w:val="28"/>
          <w:szCs w:val="28"/>
          <w:rtl/>
        </w:rPr>
        <w:t>סעיף 112 לחוק</w:t>
      </w:r>
      <w:r>
        <w:rPr>
          <w:rFonts w:ascii="David" w:hAnsi="David"/>
          <w:sz w:val="28"/>
          <w:szCs w:val="28"/>
          <w:rtl/>
        </w:rPr>
        <w:t xml:space="preserve">, נפגע עבודה עשוי להיות זכאי </w:t>
      </w:r>
      <w:r>
        <w:rPr>
          <w:rFonts w:ascii="David" w:hAnsi="David"/>
          <w:b/>
          <w:bCs/>
          <w:sz w:val="28"/>
          <w:szCs w:val="28"/>
          <w:rtl/>
        </w:rPr>
        <w:t>בנוסף</w:t>
      </w:r>
      <w:r>
        <w:rPr>
          <w:rFonts w:ascii="David" w:hAnsi="David"/>
          <w:sz w:val="28"/>
          <w:szCs w:val="28"/>
          <w:rtl/>
        </w:rPr>
        <w:t xml:space="preserve"> לקצבה או מענק נכות ל</w:t>
      </w:r>
      <w:r>
        <w:rPr>
          <w:rFonts w:ascii="David" w:hAnsi="David"/>
          <w:b/>
          <w:bCs/>
          <w:sz w:val="28"/>
          <w:szCs w:val="28"/>
          <w:rtl/>
        </w:rPr>
        <w:t>"גמלאות מיוחדות"</w:t>
      </w:r>
      <w:r>
        <w:rPr>
          <w:rFonts w:ascii="David" w:hAnsi="David"/>
          <w:sz w:val="28"/>
          <w:szCs w:val="28"/>
          <w:rtl/>
        </w:rPr>
        <w:t xml:space="preserve">, כמפורט להלן: </w:t>
      </w:r>
    </w:p>
    <w:p w:rsidR="00DF44B4" w:rsidP="00DF44B4" w:rsidRDefault="00DF44B4">
      <w:pPr>
        <w:ind w:left="1927" w:right="567" w:hanging="1020"/>
        <w:contextualSpacing/>
        <w:jc w:val="both"/>
        <w:rPr>
          <w:rFonts w:ascii="David" w:hAnsi="David"/>
          <w:b/>
          <w:bCs/>
          <w:sz w:val="28"/>
          <w:szCs w:val="28"/>
        </w:rPr>
      </w:pPr>
      <w:r>
        <w:rPr>
          <w:rFonts w:ascii="David" w:hAnsi="David"/>
          <w:sz w:val="28"/>
          <w:szCs w:val="28"/>
          <w:rtl/>
        </w:rPr>
        <w:t>"</w:t>
      </w:r>
      <w:r>
        <w:rPr>
          <w:rFonts w:ascii="David" w:hAnsi="David"/>
          <w:b/>
          <w:bCs/>
          <w:sz w:val="28"/>
          <w:szCs w:val="28"/>
          <w:rtl/>
        </w:rPr>
        <w:t xml:space="preserve">(א)  </w:t>
      </w:r>
      <w:r>
        <w:rPr>
          <w:rFonts w:ascii="David" w:hAnsi="David"/>
          <w:b/>
          <w:bCs/>
          <w:sz w:val="28"/>
          <w:szCs w:val="28"/>
          <w:rtl/>
        </w:rPr>
        <w:tab/>
        <w:t xml:space="preserve">נכה עבודה שנקבעה לו דרגה יציבה בשיעור של 75% לפחות, זכאי, בנוסף לכל גמלה אחרת - </w:t>
      </w:r>
    </w:p>
    <w:p w:rsidR="00DF44B4" w:rsidP="00DF44B4" w:rsidRDefault="00DF44B4">
      <w:pPr>
        <w:ind w:left="2877" w:right="567" w:hanging="950"/>
        <w:contextualSpacing/>
        <w:jc w:val="both"/>
        <w:rPr>
          <w:rFonts w:ascii="David" w:hAnsi="David"/>
          <w:b/>
          <w:bCs/>
          <w:sz w:val="28"/>
          <w:szCs w:val="28"/>
        </w:rPr>
      </w:pPr>
      <w:r>
        <w:rPr>
          <w:rFonts w:ascii="David" w:hAnsi="David"/>
          <w:b/>
          <w:bCs/>
          <w:sz w:val="28"/>
          <w:szCs w:val="28"/>
          <w:rtl/>
        </w:rPr>
        <w:t xml:space="preserve">(1)   </w:t>
      </w:r>
      <w:r>
        <w:rPr>
          <w:rFonts w:ascii="David" w:hAnsi="David"/>
          <w:b/>
          <w:bCs/>
          <w:sz w:val="28"/>
          <w:szCs w:val="28"/>
          <w:rtl/>
        </w:rPr>
        <w:tab/>
        <w:t>לקצבה מיוחדת להחזקתו האישית או לשיקומו המקצועי עקב נכותו, בסכומים ולפי כללים שנקבעו, אולם לא יותר מרבע הקצבה המרבית המשתלמת לפי סעיף 105 על בסיס דמי הפגיעה המרביים האמורים בסעיף 97(א);</w:t>
      </w:r>
    </w:p>
    <w:p w:rsidR="00DF44B4" w:rsidP="00DF44B4" w:rsidRDefault="00DF44B4">
      <w:pPr>
        <w:ind w:left="2877" w:right="567" w:hanging="950"/>
        <w:contextualSpacing/>
        <w:jc w:val="both"/>
        <w:rPr>
          <w:rFonts w:ascii="David" w:hAnsi="David"/>
          <w:b/>
          <w:bCs/>
          <w:sz w:val="28"/>
          <w:szCs w:val="28"/>
          <w:rtl/>
        </w:rPr>
      </w:pPr>
      <w:r>
        <w:rPr>
          <w:rFonts w:ascii="David" w:hAnsi="David"/>
          <w:b/>
          <w:bCs/>
          <w:sz w:val="28"/>
          <w:szCs w:val="28"/>
          <w:rtl/>
        </w:rPr>
        <w:t xml:space="preserve">(2)  </w:t>
      </w:r>
      <w:r>
        <w:rPr>
          <w:rFonts w:ascii="David" w:hAnsi="David"/>
          <w:b/>
          <w:bCs/>
          <w:sz w:val="28"/>
          <w:szCs w:val="28"/>
          <w:rtl/>
        </w:rPr>
        <w:tab/>
        <w:t>למענק לסידורים חד-פעמיים הנובעים מנכותו, בתנאים ובסכומים שנקבעו.</w:t>
      </w:r>
    </w:p>
    <w:p w:rsidR="00DF44B4" w:rsidP="00DF44B4" w:rsidRDefault="00DF44B4">
      <w:pPr>
        <w:ind w:left="1927" w:right="567" w:hanging="1020"/>
        <w:contextualSpacing/>
        <w:jc w:val="both"/>
        <w:rPr>
          <w:rFonts w:ascii="David" w:hAnsi="David"/>
          <w:b/>
          <w:bCs/>
          <w:sz w:val="28"/>
          <w:szCs w:val="28"/>
          <w:rtl/>
        </w:rPr>
      </w:pPr>
      <w:r>
        <w:rPr>
          <w:rFonts w:ascii="David" w:hAnsi="David"/>
          <w:b/>
          <w:bCs/>
          <w:sz w:val="28"/>
          <w:szCs w:val="28"/>
          <w:rtl/>
        </w:rPr>
        <w:t xml:space="preserve"> (ב)</w:t>
      </w:r>
      <w:r>
        <w:rPr>
          <w:rFonts w:ascii="David" w:hAnsi="David"/>
          <w:b/>
          <w:bCs/>
          <w:sz w:val="28"/>
          <w:szCs w:val="28"/>
          <w:rtl/>
        </w:rPr>
        <w:tab/>
        <w:t>נכה עבודה שנקבעה לו דרגת נכות של 75% לפחות והיא דרגה שאינה יציבה, יהיה זכאי לקצבה מיוחדת לפי סעיף קטן (א)(1), אם קבעו רופא או ועדה רפואית לפי סעיף 118, או הועדה הרפואית לעררים לפי סעיף 122, כי הם סבורים שהדרגה היציבה של נכה העבודה לא תפחת מ- 75%; קביעה לפי סעיף קטן זה, דינה, לענין סעיף 124, כדין קביעת דרגת נכות.</w:t>
      </w:r>
    </w:p>
    <w:p w:rsidR="00DF44B4" w:rsidP="00DF44B4" w:rsidRDefault="00DF44B4">
      <w:pPr>
        <w:ind w:left="1927" w:right="567" w:hanging="1020"/>
        <w:contextualSpacing/>
        <w:jc w:val="both"/>
        <w:rPr>
          <w:rFonts w:ascii="David" w:hAnsi="David"/>
          <w:sz w:val="28"/>
          <w:szCs w:val="28"/>
          <w:rtl/>
        </w:rPr>
      </w:pPr>
      <w:r>
        <w:rPr>
          <w:rFonts w:ascii="David" w:hAnsi="David"/>
          <w:b/>
          <w:bCs/>
          <w:sz w:val="28"/>
          <w:szCs w:val="28"/>
          <w:rtl/>
        </w:rPr>
        <w:t xml:space="preserve"> (ג)   </w:t>
      </w:r>
      <w:r>
        <w:rPr>
          <w:rFonts w:ascii="David" w:hAnsi="David"/>
          <w:b/>
          <w:bCs/>
          <w:sz w:val="28"/>
          <w:szCs w:val="28"/>
          <w:rtl/>
        </w:rPr>
        <w:tab/>
        <w:t>השר רשאי, בהתאם לתנאים מיוחדים שקבע, להחיל את הוראות סעיף קטן (א) לגבי נכה עבודה שדרגת נכותו פחותה מ- 75%, לענין תשלום קצבה מיוחדת או מענקים לסידורים חד- פעמיים, שניהם ביחד או כל אחד מהם בנפרד.</w:t>
      </w:r>
      <w:r>
        <w:rPr>
          <w:rFonts w:ascii="David" w:hAnsi="David"/>
          <w:sz w:val="28"/>
          <w:szCs w:val="28"/>
          <w:rtl/>
        </w:rPr>
        <w:t>"</w:t>
      </w:r>
    </w:p>
    <w:p w:rsidR="00DF44B4" w:rsidP="00DF44B4" w:rsidRDefault="00DF44B4">
      <w:pPr>
        <w:ind w:left="1134"/>
        <w:contextualSpacing/>
        <w:jc w:val="both"/>
        <w:rPr>
          <w:rFonts w:ascii="David" w:hAnsi="David"/>
          <w:sz w:val="28"/>
          <w:szCs w:val="28"/>
          <w:rtl/>
        </w:rPr>
      </w:pPr>
    </w:p>
    <w:p w:rsidR="00DF44B4" w:rsidP="00DF44B4" w:rsidRDefault="00DF44B4">
      <w:pPr>
        <w:numPr>
          <w:ilvl w:val="0"/>
          <w:numId w:val="1"/>
        </w:numPr>
        <w:spacing w:line="360" w:lineRule="auto"/>
        <w:contextualSpacing/>
        <w:jc w:val="both"/>
        <w:rPr>
          <w:rFonts w:ascii="David" w:hAnsi="David"/>
          <w:sz w:val="28"/>
          <w:szCs w:val="28"/>
          <w:rtl/>
        </w:rPr>
      </w:pPr>
      <w:r>
        <w:rPr>
          <w:rFonts w:ascii="David" w:hAnsi="David"/>
          <w:sz w:val="28"/>
          <w:szCs w:val="28"/>
          <w:rtl/>
        </w:rPr>
        <w:t xml:space="preserve">בכל הנוגע למימוש הזכאות לגמלאות מיוחדות הותקנו </w:t>
      </w:r>
      <w:r>
        <w:rPr>
          <w:rFonts w:ascii="David" w:hAnsi="David"/>
          <w:b/>
          <w:bCs/>
          <w:sz w:val="28"/>
          <w:szCs w:val="28"/>
          <w:rtl/>
        </w:rPr>
        <w:t>תקנות קצבה מיוחדת</w:t>
      </w:r>
      <w:r>
        <w:rPr>
          <w:rFonts w:ascii="David" w:hAnsi="David"/>
          <w:sz w:val="28"/>
          <w:szCs w:val="28"/>
          <w:rtl/>
        </w:rPr>
        <w:t>. התקנות הרלוונטיות לענייננו הן:</w:t>
      </w:r>
    </w:p>
    <w:p w:rsidR="00DF44B4" w:rsidP="00DF44B4" w:rsidRDefault="00DF44B4">
      <w:pPr>
        <w:ind w:left="-142" w:right="709" w:firstLine="431"/>
        <w:contextualSpacing/>
        <w:jc w:val="both"/>
        <w:rPr>
          <w:rFonts w:ascii="David" w:hAnsi="David"/>
          <w:b/>
          <w:bCs/>
          <w:sz w:val="28"/>
          <w:szCs w:val="28"/>
        </w:rPr>
      </w:pPr>
      <w:r>
        <w:rPr>
          <w:rFonts w:ascii="David" w:hAnsi="David"/>
          <w:b/>
          <w:bCs/>
          <w:sz w:val="28"/>
          <w:szCs w:val="28"/>
          <w:rtl/>
        </w:rPr>
        <w:t>תקנה 10 – קיצבה מיוחדת להחזקה אישית:</w:t>
      </w:r>
    </w:p>
    <w:p w:rsidR="00DF44B4" w:rsidP="00DF44B4" w:rsidRDefault="00DF44B4">
      <w:pPr>
        <w:ind w:left="-142" w:right="709" w:firstLine="431"/>
        <w:jc w:val="both"/>
        <w:rPr>
          <w:rFonts w:ascii="David" w:hAnsi="David"/>
          <w:b/>
          <w:bCs/>
          <w:sz w:val="28"/>
          <w:szCs w:val="28"/>
          <w:rtl/>
        </w:rPr>
      </w:pPr>
    </w:p>
    <w:p w:rsidR="00DF44B4" w:rsidP="00DF44B4" w:rsidRDefault="00DF44B4">
      <w:pPr>
        <w:ind w:left="1643" w:right="709" w:hanging="509"/>
        <w:contextualSpacing/>
        <w:jc w:val="both"/>
        <w:rPr>
          <w:rFonts w:ascii="David" w:hAnsi="David"/>
          <w:b/>
          <w:bCs/>
          <w:sz w:val="28"/>
          <w:szCs w:val="28"/>
          <w:rtl/>
        </w:rPr>
      </w:pPr>
      <w:r>
        <w:rPr>
          <w:rFonts w:ascii="David" w:hAnsi="David"/>
          <w:b/>
          <w:bCs/>
          <w:sz w:val="28"/>
          <w:szCs w:val="28"/>
          <w:rtl/>
        </w:rPr>
        <w:t>(א)</w:t>
      </w:r>
      <w:r>
        <w:rPr>
          <w:rFonts w:ascii="David" w:hAnsi="David"/>
          <w:b/>
          <w:bCs/>
          <w:sz w:val="28"/>
          <w:szCs w:val="28"/>
          <w:rtl/>
        </w:rPr>
        <w:tab/>
        <w:t>נכה, שעקב נכותו זקוק לעזרה בביצוע פעולות יום יום, זכאי לקיצבה מיוחדת בסכום השווה ל-20% מהקיצבה המיוחדת המקסימלית.</w:t>
      </w:r>
    </w:p>
    <w:p w:rsidR="00DF44B4" w:rsidP="00DF44B4" w:rsidRDefault="00DF44B4">
      <w:pPr>
        <w:ind w:left="1643" w:right="709" w:hanging="509"/>
        <w:contextualSpacing/>
        <w:jc w:val="both"/>
        <w:rPr>
          <w:rFonts w:ascii="David" w:hAnsi="David"/>
          <w:b/>
          <w:bCs/>
          <w:sz w:val="28"/>
          <w:szCs w:val="28"/>
          <w:rtl/>
        </w:rPr>
      </w:pPr>
      <w:r>
        <w:rPr>
          <w:rFonts w:ascii="David" w:hAnsi="David"/>
          <w:b/>
          <w:bCs/>
          <w:sz w:val="28"/>
          <w:szCs w:val="28"/>
          <w:rtl/>
        </w:rPr>
        <w:t>(ב)</w:t>
      </w:r>
      <w:r>
        <w:rPr>
          <w:rFonts w:ascii="David" w:hAnsi="David"/>
          <w:b/>
          <w:bCs/>
          <w:sz w:val="28"/>
          <w:szCs w:val="28"/>
          <w:rtl/>
        </w:rPr>
        <w:tab/>
        <w:t xml:space="preserve">נכה, שעקב נכותו תלוי בעזרה רבה מהזולת בביצוע רוב פעולות היום יום, או זקוק להשגחה או להסעות שלא בתחבורה ציבורית במידה רבה, זכאי לקיצבה מיוחדת בסכום השווה ל-40% מהקיצבה המיוחדת המקסימלית. </w:t>
      </w:r>
    </w:p>
    <w:p w:rsidR="00DF44B4" w:rsidP="00DF44B4" w:rsidRDefault="00DF44B4">
      <w:pPr>
        <w:ind w:left="1643" w:right="709" w:hanging="509"/>
        <w:contextualSpacing/>
        <w:jc w:val="both"/>
        <w:rPr>
          <w:rFonts w:ascii="David" w:hAnsi="David"/>
          <w:b/>
          <w:bCs/>
          <w:sz w:val="28"/>
          <w:szCs w:val="28"/>
          <w:rtl/>
        </w:rPr>
      </w:pPr>
      <w:r>
        <w:rPr>
          <w:rFonts w:ascii="David" w:hAnsi="David"/>
          <w:b/>
          <w:bCs/>
          <w:sz w:val="28"/>
          <w:szCs w:val="28"/>
          <w:rtl/>
        </w:rPr>
        <w:t xml:space="preserve">(ג) </w:t>
      </w:r>
      <w:r>
        <w:rPr>
          <w:rFonts w:ascii="David" w:hAnsi="David"/>
          <w:b/>
          <w:bCs/>
          <w:sz w:val="28"/>
          <w:szCs w:val="28"/>
          <w:rtl/>
        </w:rPr>
        <w:tab/>
        <w:t xml:space="preserve">נכה, שעקב נכותו תלוי בעזרה רבה מהזולת בביצוע כל פעולות היום יום או הזקוק להשגחה מתמדת או הזקוק בקביעות להסעות שלא בתחבורה ציבורית, זכאי לקיצבה מיוחדת בסכום השווה ל-60% מהקיצבה המיוחדת המקסימלית. </w:t>
      </w:r>
    </w:p>
    <w:p w:rsidR="00DF44B4" w:rsidP="00DF44B4" w:rsidRDefault="00DF44B4">
      <w:pPr>
        <w:ind w:left="1643" w:right="709" w:hanging="509"/>
        <w:contextualSpacing/>
        <w:jc w:val="both"/>
        <w:rPr>
          <w:rFonts w:ascii="David" w:hAnsi="David"/>
          <w:b/>
          <w:bCs/>
          <w:sz w:val="28"/>
          <w:szCs w:val="28"/>
          <w:rtl/>
        </w:rPr>
      </w:pPr>
      <w:r>
        <w:rPr>
          <w:rFonts w:ascii="David" w:hAnsi="David"/>
          <w:b/>
          <w:bCs/>
          <w:sz w:val="28"/>
          <w:szCs w:val="28"/>
          <w:rtl/>
        </w:rPr>
        <w:t xml:space="preserve">(ד) </w:t>
      </w:r>
      <w:r>
        <w:rPr>
          <w:rFonts w:ascii="David" w:hAnsi="David"/>
          <w:b/>
          <w:bCs/>
          <w:sz w:val="28"/>
          <w:szCs w:val="28"/>
          <w:rtl/>
        </w:rPr>
        <w:tab/>
        <w:t xml:space="preserve">נכה שעקב נכותו תלוי לחלוטין בעזרת הזולת בביצוע כל פעולות היום יום זכאי לקיצבה מיוחדת בסכום השווה לקיצבה המיוחדת המקסימלית. </w:t>
      </w:r>
    </w:p>
    <w:p w:rsidR="00DF44B4" w:rsidP="00DF44B4" w:rsidRDefault="00DF44B4">
      <w:pPr>
        <w:ind w:left="1643" w:right="709" w:hanging="509"/>
        <w:contextualSpacing/>
        <w:jc w:val="both"/>
        <w:rPr>
          <w:rFonts w:ascii="David" w:hAnsi="David"/>
          <w:b/>
          <w:bCs/>
          <w:sz w:val="28"/>
          <w:szCs w:val="28"/>
          <w:rtl/>
        </w:rPr>
      </w:pPr>
      <w:r>
        <w:rPr>
          <w:rFonts w:ascii="David" w:hAnsi="David"/>
          <w:b/>
          <w:bCs/>
          <w:sz w:val="28"/>
          <w:szCs w:val="28"/>
          <w:rtl/>
        </w:rPr>
        <w:t xml:space="preserve">(ה) </w:t>
      </w:r>
      <w:r>
        <w:rPr>
          <w:rFonts w:ascii="David" w:hAnsi="David"/>
          <w:b/>
          <w:bCs/>
          <w:sz w:val="28"/>
          <w:szCs w:val="28"/>
          <w:rtl/>
        </w:rPr>
        <w:tab/>
        <w:t>היזקקות להסעה מיוחדת לא תובא בחשבון לגבי נכה המקבל קיצבה להחזקת רכב.</w:t>
      </w:r>
    </w:p>
    <w:p w:rsidR="00DF44B4" w:rsidP="00DF44B4" w:rsidRDefault="00DF44B4">
      <w:pPr>
        <w:ind w:left="1643" w:right="709" w:hanging="509"/>
        <w:contextualSpacing/>
        <w:jc w:val="both"/>
        <w:rPr>
          <w:rFonts w:ascii="David" w:hAnsi="David"/>
          <w:b/>
          <w:bCs/>
          <w:sz w:val="28"/>
          <w:szCs w:val="28"/>
          <w:rtl/>
        </w:rPr>
      </w:pPr>
      <w:r>
        <w:rPr>
          <w:rFonts w:ascii="David" w:hAnsi="David"/>
          <w:b/>
          <w:bCs/>
          <w:sz w:val="28"/>
          <w:szCs w:val="28"/>
          <w:rtl/>
        </w:rPr>
        <w:t xml:space="preserve"> (ו) </w:t>
      </w:r>
      <w:r>
        <w:rPr>
          <w:rFonts w:ascii="David" w:hAnsi="David"/>
          <w:b/>
          <w:bCs/>
          <w:sz w:val="28"/>
          <w:szCs w:val="28"/>
          <w:rtl/>
        </w:rPr>
        <w:tab/>
        <w:t>לענין תקנה זו ותקנות 10א, 10ב, 10ג, 10ד ו-10ה –</w:t>
      </w:r>
    </w:p>
    <w:p w:rsidR="00DF44B4" w:rsidP="00DF44B4" w:rsidRDefault="00DF44B4">
      <w:pPr>
        <w:ind w:left="2160" w:right="709" w:hanging="720"/>
        <w:contextualSpacing/>
        <w:jc w:val="both"/>
        <w:rPr>
          <w:rFonts w:ascii="David" w:hAnsi="David"/>
          <w:b/>
          <w:bCs/>
          <w:sz w:val="28"/>
          <w:szCs w:val="28"/>
          <w:rtl/>
        </w:rPr>
      </w:pPr>
      <w:r>
        <w:rPr>
          <w:rFonts w:ascii="David" w:hAnsi="David"/>
          <w:b/>
          <w:bCs/>
          <w:sz w:val="28"/>
          <w:szCs w:val="28"/>
          <w:rtl/>
        </w:rPr>
        <w:t>(1)</w:t>
      </w:r>
      <w:r>
        <w:rPr>
          <w:rFonts w:ascii="David" w:hAnsi="David"/>
          <w:b/>
          <w:bCs/>
          <w:sz w:val="28"/>
          <w:szCs w:val="28"/>
          <w:rtl/>
        </w:rPr>
        <w:tab/>
        <w:t>"נכה" – נכה עבודה שהוראות סעיף 69(א) לחוק חלות עליו;</w:t>
      </w:r>
    </w:p>
    <w:p w:rsidR="00DF44B4" w:rsidP="00DF44B4" w:rsidRDefault="00DF44B4">
      <w:pPr>
        <w:ind w:left="2160" w:right="709" w:hanging="720"/>
        <w:contextualSpacing/>
        <w:jc w:val="both"/>
        <w:rPr>
          <w:rFonts w:ascii="David" w:hAnsi="David"/>
          <w:b/>
          <w:bCs/>
          <w:sz w:val="28"/>
          <w:szCs w:val="28"/>
          <w:rtl/>
        </w:rPr>
      </w:pPr>
      <w:r>
        <w:rPr>
          <w:rFonts w:ascii="David" w:hAnsi="David"/>
          <w:b/>
          <w:bCs/>
          <w:sz w:val="28"/>
          <w:szCs w:val="28"/>
          <w:rtl/>
        </w:rPr>
        <w:t>(2)</w:t>
      </w:r>
      <w:r>
        <w:rPr>
          <w:rFonts w:ascii="David" w:hAnsi="David"/>
          <w:b/>
          <w:bCs/>
          <w:sz w:val="28"/>
          <w:szCs w:val="28"/>
          <w:rtl/>
        </w:rPr>
        <w:tab/>
        <w:t>"פעולות יום יום" – לבישה, אכילה, שליטה בהפרשות, רחצה, ניידות עצמית בבית והקשור בהן;</w:t>
      </w:r>
    </w:p>
    <w:p w:rsidR="00DF44B4" w:rsidP="00DF44B4" w:rsidRDefault="00DF44B4">
      <w:pPr>
        <w:ind w:left="2160" w:right="709" w:hanging="720"/>
        <w:contextualSpacing/>
        <w:jc w:val="both"/>
        <w:rPr>
          <w:rFonts w:ascii="David" w:hAnsi="David"/>
          <w:b/>
          <w:bCs/>
          <w:sz w:val="28"/>
          <w:szCs w:val="28"/>
          <w:rtl/>
        </w:rPr>
      </w:pPr>
      <w:r>
        <w:rPr>
          <w:rFonts w:ascii="David" w:hAnsi="David"/>
          <w:b/>
          <w:bCs/>
          <w:sz w:val="28"/>
          <w:szCs w:val="28"/>
          <w:rtl/>
        </w:rPr>
        <w:t>(3)</w:t>
      </w:r>
      <w:r>
        <w:rPr>
          <w:rFonts w:ascii="David" w:hAnsi="David"/>
          <w:b/>
          <w:bCs/>
          <w:sz w:val="28"/>
          <w:szCs w:val="28"/>
          <w:rtl/>
        </w:rPr>
        <w:tab/>
        <w:t>"השגחה" – השגחה ופיקוח על הנכה למניעת נזק או סכנה לעצמו או לאחרים;</w:t>
      </w:r>
    </w:p>
    <w:p w:rsidR="00DF44B4" w:rsidP="00DF44B4" w:rsidRDefault="00DF44B4">
      <w:pPr>
        <w:ind w:left="2160" w:right="709" w:hanging="720"/>
        <w:contextualSpacing/>
        <w:jc w:val="both"/>
        <w:rPr>
          <w:rFonts w:ascii="David" w:hAnsi="David"/>
          <w:b/>
          <w:bCs/>
          <w:sz w:val="28"/>
          <w:szCs w:val="28"/>
          <w:rtl/>
        </w:rPr>
      </w:pPr>
      <w:r>
        <w:rPr>
          <w:rFonts w:ascii="David" w:hAnsi="David"/>
          <w:sz w:val="28"/>
          <w:szCs w:val="28"/>
          <w:rtl/>
        </w:rPr>
        <w:t>(</w:t>
      </w:r>
      <w:r>
        <w:rPr>
          <w:rFonts w:ascii="David" w:hAnsi="David"/>
          <w:b/>
          <w:bCs/>
          <w:sz w:val="28"/>
          <w:szCs w:val="28"/>
          <w:rtl/>
        </w:rPr>
        <w:t>4)</w:t>
      </w:r>
      <w:r>
        <w:rPr>
          <w:rFonts w:ascii="David" w:hAnsi="David"/>
          <w:sz w:val="28"/>
          <w:szCs w:val="28"/>
          <w:rtl/>
        </w:rPr>
        <w:tab/>
      </w:r>
      <w:r>
        <w:rPr>
          <w:rFonts w:ascii="David" w:hAnsi="David"/>
          <w:b/>
          <w:bCs/>
          <w:sz w:val="28"/>
          <w:szCs w:val="28"/>
          <w:rtl/>
        </w:rPr>
        <w:t>"קיצבה מיוחדת מקסימלית" – כמשמעותה בסעיף 69(א) לחוק.</w:t>
      </w:r>
    </w:p>
    <w:p w:rsidR="00DF44B4" w:rsidP="00DF44B4" w:rsidRDefault="00DF44B4">
      <w:pPr>
        <w:ind w:left="-142" w:right="709" w:firstLine="431"/>
        <w:jc w:val="both"/>
        <w:rPr>
          <w:rFonts w:ascii="David" w:hAnsi="David"/>
          <w:b/>
          <w:bCs/>
          <w:sz w:val="28"/>
          <w:szCs w:val="28"/>
          <w:rtl/>
        </w:rPr>
      </w:pPr>
    </w:p>
    <w:p w:rsidR="00DF44B4" w:rsidP="00DF44B4" w:rsidRDefault="00DF44B4">
      <w:pPr>
        <w:ind w:left="-142" w:right="709" w:firstLine="431"/>
        <w:jc w:val="both"/>
        <w:rPr>
          <w:rFonts w:ascii="David" w:hAnsi="David"/>
          <w:b/>
          <w:bCs/>
          <w:sz w:val="28"/>
          <w:szCs w:val="28"/>
          <w:rtl/>
        </w:rPr>
      </w:pPr>
      <w:r>
        <w:rPr>
          <w:rFonts w:ascii="David" w:hAnsi="David"/>
          <w:b/>
          <w:bCs/>
          <w:sz w:val="28"/>
          <w:szCs w:val="28"/>
          <w:rtl/>
        </w:rPr>
        <w:t xml:space="preserve">תקנה 10א -  תשלום להחזקת רכב </w:t>
      </w:r>
    </w:p>
    <w:p w:rsidR="00DF44B4" w:rsidP="00DF44B4" w:rsidRDefault="00DF44B4">
      <w:pPr>
        <w:ind w:left="1643" w:right="709" w:hanging="509"/>
        <w:contextualSpacing/>
        <w:jc w:val="both"/>
        <w:rPr>
          <w:rFonts w:ascii="David" w:hAnsi="David"/>
          <w:b/>
          <w:bCs/>
          <w:sz w:val="28"/>
          <w:szCs w:val="28"/>
          <w:rtl/>
        </w:rPr>
      </w:pPr>
      <w:r>
        <w:rPr>
          <w:rFonts w:ascii="David" w:hAnsi="David"/>
          <w:b/>
          <w:bCs/>
          <w:sz w:val="28"/>
          <w:szCs w:val="28"/>
          <w:rtl/>
        </w:rPr>
        <w:t>(א)</w:t>
      </w:r>
      <w:r>
        <w:rPr>
          <w:rFonts w:ascii="David" w:hAnsi="David"/>
          <w:b/>
          <w:bCs/>
          <w:sz w:val="28"/>
          <w:szCs w:val="28"/>
          <w:rtl/>
        </w:rPr>
        <w:tab/>
        <w:t xml:space="preserve">נכה המקבל קיצבת ניידות כמשמעותה בהסכם הניידות בסכום הנמוך מסכום הקיצבה להחזקת רכב הנקוב בתוספת בצד אחוזי הנכות שנקבעו לו, יהיה זכאי לקיצבה חודשית מיוחדת להחזקת רכב בסכום השווה להפרש שבין סכום הקיצבה להחזקת רכב הנקוב בתוספת לבין סכום קיצבת הניידות; </w:t>
      </w:r>
    </w:p>
    <w:p w:rsidR="00DF44B4" w:rsidP="00DF44B4" w:rsidRDefault="00DF44B4">
      <w:pPr>
        <w:ind w:left="1643" w:right="709" w:hanging="509"/>
        <w:contextualSpacing/>
        <w:jc w:val="both"/>
        <w:rPr>
          <w:rFonts w:ascii="David" w:hAnsi="David"/>
          <w:b/>
          <w:bCs/>
          <w:sz w:val="28"/>
          <w:szCs w:val="28"/>
        </w:rPr>
      </w:pPr>
      <w:r>
        <w:rPr>
          <w:rFonts w:ascii="David" w:hAnsi="David"/>
          <w:b/>
          <w:bCs/>
          <w:sz w:val="28"/>
          <w:szCs w:val="28"/>
          <w:rtl/>
        </w:rPr>
        <w:t>(ב)</w:t>
      </w:r>
      <w:r>
        <w:rPr>
          <w:rFonts w:ascii="David" w:hAnsi="David"/>
          <w:b/>
          <w:bCs/>
          <w:sz w:val="28"/>
          <w:szCs w:val="28"/>
          <w:rtl/>
        </w:rPr>
        <w:tab/>
        <w:t>הופחתה קיצבת הניידות לפי הסכם הניידות בשל הפרת ההסכם, תובא בחשבון לענין חישוב ההפרש האמור בתקנת משנה (א), קיצבת הניידות שהיתה משתלמת מלא ההפחתה.</w:t>
      </w:r>
    </w:p>
    <w:p w:rsidR="00DF44B4" w:rsidP="00DF44B4" w:rsidRDefault="00DF44B4">
      <w:pPr>
        <w:ind w:left="1643" w:right="709" w:hanging="509"/>
        <w:contextualSpacing/>
        <w:jc w:val="both"/>
        <w:rPr>
          <w:rFonts w:ascii="David" w:hAnsi="David"/>
          <w:b/>
          <w:bCs/>
          <w:sz w:val="28"/>
          <w:szCs w:val="28"/>
          <w:rtl/>
        </w:rPr>
      </w:pPr>
      <w:r>
        <w:rPr>
          <w:rFonts w:ascii="David" w:hAnsi="David"/>
          <w:b/>
          <w:bCs/>
          <w:sz w:val="28"/>
          <w:szCs w:val="28"/>
          <w:rtl/>
        </w:rPr>
        <w:t>(ג)</w:t>
      </w:r>
      <w:r>
        <w:rPr>
          <w:rFonts w:ascii="David" w:hAnsi="David"/>
          <w:b/>
          <w:bCs/>
          <w:sz w:val="28"/>
          <w:szCs w:val="28"/>
          <w:rtl/>
        </w:rPr>
        <w:tab/>
        <w:t xml:space="preserve">הסכומים הנקובים בתוספת יעודכנו במועדים ובשיעורים שבהם מתעדכנת קיצבת הניידות לפי הסכם הניידות. </w:t>
      </w:r>
    </w:p>
    <w:p w:rsidR="00DF44B4" w:rsidP="00DF44B4" w:rsidRDefault="00DF44B4">
      <w:pPr>
        <w:ind w:left="-142" w:right="709" w:firstLine="431"/>
        <w:contextualSpacing/>
        <w:jc w:val="both"/>
        <w:rPr>
          <w:rFonts w:ascii="David" w:hAnsi="David"/>
          <w:b/>
          <w:bCs/>
          <w:sz w:val="28"/>
          <w:szCs w:val="28"/>
          <w:rtl/>
        </w:rPr>
      </w:pPr>
    </w:p>
    <w:p w:rsidR="00DF44B4" w:rsidP="00DF44B4" w:rsidRDefault="00DF44B4">
      <w:pPr>
        <w:ind w:left="-142" w:right="709" w:firstLine="431"/>
        <w:jc w:val="both"/>
        <w:rPr>
          <w:rFonts w:ascii="David" w:hAnsi="David"/>
          <w:b/>
          <w:bCs/>
          <w:sz w:val="28"/>
          <w:szCs w:val="28"/>
          <w:rtl/>
        </w:rPr>
      </w:pPr>
      <w:r>
        <w:rPr>
          <w:rFonts w:ascii="David" w:hAnsi="David"/>
          <w:b/>
          <w:bCs/>
          <w:sz w:val="28"/>
          <w:szCs w:val="28"/>
          <w:rtl/>
        </w:rPr>
        <w:t>תקנה 10ב – שמירת הסדרים קודמים</w:t>
      </w:r>
    </w:p>
    <w:p w:rsidR="00DF44B4" w:rsidP="00DF44B4" w:rsidRDefault="00DF44B4">
      <w:pPr>
        <w:ind w:left="1076" w:right="709"/>
        <w:contextualSpacing/>
        <w:jc w:val="both"/>
        <w:rPr>
          <w:rFonts w:ascii="David" w:hAnsi="David"/>
          <w:b/>
          <w:bCs/>
          <w:sz w:val="28"/>
          <w:szCs w:val="28"/>
          <w:rtl/>
        </w:rPr>
      </w:pPr>
      <w:r>
        <w:rPr>
          <w:rFonts w:ascii="David" w:hAnsi="David"/>
          <w:b/>
          <w:bCs/>
          <w:sz w:val="28"/>
          <w:szCs w:val="28"/>
          <w:rtl/>
        </w:rPr>
        <w:t>נכה שאינו מקבל קצבת ניידות לפי הסכם הניידות, אך מקבל קיצבה מיוחדת להחזקת רכב שאושרה לו לפי הסדרים קודמים, יימשך תשלום הקיצבה בהתאם לתוספת כל עוד ברשותו או בבעלותו רכב.</w:t>
      </w:r>
    </w:p>
    <w:p w:rsidR="00DF44B4" w:rsidP="00DF44B4" w:rsidRDefault="00DF44B4">
      <w:pPr>
        <w:ind w:left="-142" w:right="709" w:firstLine="431"/>
        <w:contextualSpacing/>
        <w:jc w:val="both"/>
        <w:rPr>
          <w:rFonts w:ascii="David" w:hAnsi="David"/>
          <w:b/>
          <w:bCs/>
          <w:sz w:val="28"/>
          <w:szCs w:val="28"/>
          <w:rtl/>
        </w:rPr>
      </w:pPr>
    </w:p>
    <w:p w:rsidR="00DF44B4" w:rsidP="00DF44B4" w:rsidRDefault="00DF44B4">
      <w:pPr>
        <w:ind w:left="-142" w:right="709" w:firstLine="431"/>
        <w:contextualSpacing/>
        <w:jc w:val="both"/>
        <w:rPr>
          <w:rFonts w:ascii="David" w:hAnsi="David"/>
          <w:b/>
          <w:bCs/>
          <w:sz w:val="28"/>
          <w:szCs w:val="28"/>
          <w:rtl/>
        </w:rPr>
      </w:pPr>
      <w:r>
        <w:rPr>
          <w:rFonts w:ascii="David" w:hAnsi="David"/>
          <w:b/>
          <w:bCs/>
          <w:sz w:val="28"/>
          <w:szCs w:val="28"/>
          <w:rtl/>
        </w:rPr>
        <w:t>תקנה 10ג - הגדלת הקיצבה להחזקה אישית:</w:t>
      </w:r>
    </w:p>
    <w:p w:rsidR="00DF44B4" w:rsidP="00DF44B4" w:rsidRDefault="00DF44B4">
      <w:pPr>
        <w:ind w:left="1134" w:right="709"/>
        <w:contextualSpacing/>
        <w:jc w:val="both"/>
        <w:rPr>
          <w:rFonts w:ascii="David" w:hAnsi="David"/>
          <w:b/>
          <w:bCs/>
          <w:sz w:val="28"/>
          <w:szCs w:val="28"/>
          <w:rtl/>
        </w:rPr>
      </w:pPr>
      <w:r>
        <w:rPr>
          <w:rFonts w:ascii="David" w:hAnsi="David"/>
          <w:b/>
          <w:bCs/>
          <w:sz w:val="28"/>
          <w:szCs w:val="28"/>
          <w:rtl/>
        </w:rPr>
        <w:t>נכה שאינו מקבל קיצבת ניידות לפי הסכם הניידות או קיצבה מיוחדת להחזקת רכב לפי תקנה 10ב, תוגדל לו הקיצבה המיוחדת להחזקה אישית שנקבעה בתקנות 10(א), (ב) ו- (ג), לפי העניין, ב- 10% מהקיצבה המיוחדת המקסימלית.</w:t>
      </w:r>
    </w:p>
    <w:p w:rsidR="00DF44B4" w:rsidP="00DF44B4" w:rsidRDefault="00DF44B4">
      <w:pPr>
        <w:ind w:left="-142" w:right="709" w:firstLine="431"/>
        <w:contextualSpacing/>
        <w:jc w:val="both"/>
        <w:rPr>
          <w:rFonts w:ascii="David" w:hAnsi="David"/>
          <w:b/>
          <w:bCs/>
          <w:sz w:val="28"/>
          <w:szCs w:val="28"/>
          <w:rtl/>
        </w:rPr>
      </w:pPr>
    </w:p>
    <w:p w:rsidR="00DF44B4" w:rsidP="00DF44B4" w:rsidRDefault="00DF44B4">
      <w:pPr>
        <w:ind w:left="-142" w:right="709" w:firstLine="431"/>
        <w:contextualSpacing/>
        <w:jc w:val="both"/>
        <w:rPr>
          <w:rFonts w:ascii="David" w:hAnsi="David"/>
          <w:b/>
          <w:bCs/>
          <w:sz w:val="28"/>
          <w:szCs w:val="28"/>
          <w:rtl/>
        </w:rPr>
      </w:pPr>
      <w:r>
        <w:rPr>
          <w:rFonts w:ascii="David" w:hAnsi="David"/>
          <w:b/>
          <w:bCs/>
          <w:sz w:val="28"/>
          <w:szCs w:val="28"/>
          <w:rtl/>
        </w:rPr>
        <w:t xml:space="preserve">תקנה 10ד – קיצבה מיוחדת לשיקום מקצועי או לצרכי עיסוק </w:t>
      </w:r>
    </w:p>
    <w:p w:rsidR="00DF44B4" w:rsidP="00DF44B4" w:rsidRDefault="00DF44B4">
      <w:pPr>
        <w:ind w:left="1134" w:right="709"/>
        <w:contextualSpacing/>
        <w:jc w:val="both"/>
        <w:rPr>
          <w:rFonts w:ascii="David" w:hAnsi="David"/>
          <w:b/>
          <w:bCs/>
          <w:sz w:val="28"/>
          <w:szCs w:val="28"/>
          <w:rtl/>
        </w:rPr>
      </w:pPr>
      <w:r>
        <w:rPr>
          <w:rFonts w:ascii="David" w:hAnsi="David"/>
          <w:b/>
          <w:bCs/>
          <w:sz w:val="28"/>
          <w:szCs w:val="28"/>
          <w:rtl/>
        </w:rPr>
        <w:t xml:space="preserve">קבע פקיד השיקום כי לצורך שיקומו המקצועי או הבטחת עיסוקו של הנכה יש צורך בכיסוי הוצאות מיוחדות קבועות עקב נכותו של הנכה, תשולם לנכה קיצבה מיוחדת לכיסוי הוצאות אלה. </w:t>
      </w:r>
    </w:p>
    <w:p w:rsidR="00DF44B4" w:rsidP="00DF44B4" w:rsidRDefault="00DF44B4">
      <w:pPr>
        <w:ind w:left="272" w:right="709" w:firstLine="862"/>
        <w:contextualSpacing/>
        <w:jc w:val="both"/>
        <w:rPr>
          <w:rFonts w:ascii="David" w:hAnsi="David"/>
          <w:b/>
          <w:bCs/>
          <w:sz w:val="28"/>
          <w:szCs w:val="28"/>
          <w:rtl/>
        </w:rPr>
      </w:pPr>
      <w:r>
        <w:rPr>
          <w:rFonts w:ascii="David" w:hAnsi="David"/>
          <w:b/>
          <w:bCs/>
          <w:sz w:val="28"/>
          <w:szCs w:val="28"/>
          <w:rtl/>
        </w:rPr>
        <w:t xml:space="preserve">תקנה 10ה – הגבלה במכסימום: </w:t>
      </w:r>
    </w:p>
    <w:p w:rsidR="00DF44B4" w:rsidP="00DF44B4" w:rsidRDefault="00DF44B4">
      <w:pPr>
        <w:ind w:left="1134" w:right="709"/>
        <w:contextualSpacing/>
        <w:jc w:val="both"/>
        <w:rPr>
          <w:rFonts w:ascii="David" w:hAnsi="David"/>
          <w:b/>
          <w:bCs/>
          <w:sz w:val="28"/>
          <w:szCs w:val="28"/>
          <w:rtl/>
        </w:rPr>
      </w:pPr>
      <w:r>
        <w:rPr>
          <w:rFonts w:ascii="David" w:hAnsi="David"/>
          <w:b/>
          <w:bCs/>
          <w:sz w:val="28"/>
          <w:szCs w:val="28"/>
          <w:rtl/>
        </w:rPr>
        <w:t xml:space="preserve">בכל מקרה לא יעלה סך התשלומים הניתנים לפי תקנות 10, 10א, 10ב, 10ג ו- 10ד על הקיצבה המיוחדת המכסימלית". </w:t>
      </w:r>
    </w:p>
    <w:p w:rsidR="00DF44B4" w:rsidP="00DF44B4" w:rsidRDefault="00DF44B4">
      <w:pPr>
        <w:spacing w:line="360" w:lineRule="auto"/>
        <w:ind w:left="720" w:right="709"/>
        <w:contextualSpacing/>
        <w:jc w:val="both"/>
        <w:rPr>
          <w:rFonts w:ascii="David" w:hAnsi="David"/>
          <w:sz w:val="28"/>
          <w:szCs w:val="28"/>
          <w:rtl/>
        </w:rPr>
      </w:pPr>
    </w:p>
    <w:p w:rsidR="00DF44B4" w:rsidP="00DF44B4" w:rsidRDefault="00DF44B4">
      <w:pPr>
        <w:numPr>
          <w:ilvl w:val="0"/>
          <w:numId w:val="1"/>
        </w:numPr>
        <w:spacing w:line="360" w:lineRule="auto"/>
        <w:jc w:val="both"/>
        <w:rPr>
          <w:rFonts w:ascii="David" w:hAnsi="David"/>
          <w:b/>
          <w:bCs/>
          <w:sz w:val="28"/>
          <w:szCs w:val="28"/>
          <w:rtl/>
        </w:rPr>
      </w:pPr>
      <w:r>
        <w:rPr>
          <w:rFonts w:ascii="David" w:hAnsi="David"/>
          <w:sz w:val="28"/>
          <w:szCs w:val="28"/>
          <w:rtl/>
        </w:rPr>
        <w:t xml:space="preserve">בחינת ההיסטוריה החקיקתית מעלה כי בראשית הדרך, בנוסח המקורי של התקנות, לא נקבעו בתקנות קריטריונים לתשלום קצבה מיוחדת ושיעור הקצבה, אלא נקבע כי </w:t>
      </w:r>
      <w:r>
        <w:rPr>
          <w:rFonts w:ascii="David" w:hAnsi="David"/>
          <w:b/>
          <w:bCs/>
          <w:sz w:val="28"/>
          <w:szCs w:val="28"/>
          <w:rtl/>
        </w:rPr>
        <w:t xml:space="preserve">"סכום הקצבה המיוחדת יהיה כסכום ההוצאות המשוערות הדרושות להחזקתו האישית של הנכה עקב נכותו או לשיקומו המקצועי של הנכה כאמור בתקנה 9". </w:t>
      </w:r>
      <w:r>
        <w:rPr>
          <w:rFonts w:ascii="David" w:hAnsi="David"/>
          <w:sz w:val="28"/>
          <w:szCs w:val="28"/>
          <w:rtl/>
        </w:rPr>
        <w:t>בשנת 1976 תוקנו התקנות ונקבע כי "</w:t>
      </w:r>
      <w:r>
        <w:rPr>
          <w:rFonts w:ascii="David" w:hAnsi="David"/>
          <w:b/>
          <w:bCs/>
          <w:sz w:val="28"/>
          <w:szCs w:val="28"/>
          <w:rtl/>
        </w:rPr>
        <w:t xml:space="preserve">"סכום הקצבה המיוחדת יהיה כסכום ההוצאות המשוערות הדרושות להחזקתו האישית של הנכה עקב נכותו, לשיקומו המקצועי או </w:t>
      </w:r>
      <w:r>
        <w:rPr>
          <w:rFonts w:ascii="David" w:hAnsi="David"/>
          <w:b/>
          <w:bCs/>
          <w:sz w:val="28"/>
          <w:szCs w:val="28"/>
          <w:u w:val="single"/>
          <w:rtl/>
        </w:rPr>
        <w:t>לצורך עיסוקו במשלח ידו של הנכה</w:t>
      </w:r>
      <w:r>
        <w:rPr>
          <w:rFonts w:ascii="David" w:hAnsi="David"/>
          <w:b/>
          <w:bCs/>
          <w:sz w:val="28"/>
          <w:szCs w:val="28"/>
          <w:rtl/>
        </w:rPr>
        <w:t xml:space="preserve">". </w:t>
      </w:r>
      <w:r>
        <w:rPr>
          <w:rFonts w:ascii="David" w:hAnsi="David"/>
          <w:sz w:val="28"/>
          <w:szCs w:val="28"/>
          <w:rtl/>
        </w:rPr>
        <w:t xml:space="preserve">בתיקון משנת 1987 שונה נוסח תקנה 10 לנוסח הנוכחי, וכן הוספו תקנות 10א עד 10ה. נוכח האמור, מקובלת עלינו טענת המערערים כי לא ניתן ללמוד לענייננו מפסק הדין בעניין </w:t>
      </w:r>
      <w:r>
        <w:rPr>
          <w:rFonts w:ascii="David" w:hAnsi="David"/>
          <w:b/>
          <w:bCs/>
          <w:sz w:val="28"/>
          <w:szCs w:val="28"/>
          <w:rtl/>
        </w:rPr>
        <w:t>מלכין</w:t>
      </w:r>
      <w:r>
        <w:rPr>
          <w:rFonts w:ascii="David" w:hAnsi="David"/>
          <w:sz w:val="28"/>
          <w:szCs w:val="28"/>
          <w:rtl/>
        </w:rPr>
        <w:t xml:space="preserve">, שהתייחס לנוסח הקודם של התקנות. </w:t>
      </w:r>
    </w:p>
    <w:p w:rsidR="00DF44B4" w:rsidP="00DF44B4" w:rsidRDefault="00DF44B4">
      <w:pPr>
        <w:numPr>
          <w:ilvl w:val="0"/>
          <w:numId w:val="1"/>
        </w:numPr>
        <w:spacing w:line="360" w:lineRule="auto"/>
        <w:jc w:val="both"/>
        <w:rPr>
          <w:rFonts w:ascii="David" w:hAnsi="David"/>
          <w:sz w:val="28"/>
          <w:szCs w:val="28"/>
        </w:rPr>
      </w:pPr>
      <w:r>
        <w:rPr>
          <w:rFonts w:ascii="David" w:hAnsi="David"/>
          <w:sz w:val="28"/>
          <w:szCs w:val="28"/>
          <w:rtl/>
        </w:rPr>
        <w:t xml:space="preserve">בעניין </w:t>
      </w:r>
      <w:r>
        <w:rPr>
          <w:rFonts w:ascii="David" w:hAnsi="David"/>
          <w:b/>
          <w:bCs/>
          <w:sz w:val="28"/>
          <w:szCs w:val="28"/>
          <w:rtl/>
        </w:rPr>
        <w:t>נאמן ובגו</w:t>
      </w:r>
      <w:r>
        <w:rPr>
          <w:rFonts w:ascii="David" w:hAnsi="David"/>
          <w:sz w:val="28"/>
          <w:szCs w:val="28"/>
          <w:rtl/>
        </w:rPr>
        <w:t xml:space="preserve"> [עב"ל (ארצי) 55089-01-16; עב"ל (ארצי) 40779-05-17 </w:t>
      </w:r>
      <w:r>
        <w:rPr>
          <w:rFonts w:ascii="David" w:hAnsi="David"/>
          <w:b/>
          <w:bCs/>
          <w:sz w:val="28"/>
          <w:szCs w:val="28"/>
          <w:rtl/>
        </w:rPr>
        <w:t>שרה נאמן; אריה בגו – המוסד לביטוח לאומי ואח'</w:t>
      </w:r>
      <w:r>
        <w:rPr>
          <w:rFonts w:ascii="David" w:hAnsi="David"/>
          <w:sz w:val="28"/>
          <w:szCs w:val="28"/>
          <w:rtl/>
        </w:rPr>
        <w:t xml:space="preserve"> (15.5.2020); עתירה לבג"צ נדחתה (בג"צ 6493/20 (17.10.2021)] נדונה תכלית הקצבה המיוחדת המשולמת לנפגע עבודה על פי תקנה 10 לתקנות קצבה מיוחדת, וכך נאמר: </w:t>
      </w:r>
    </w:p>
    <w:p w:rsidR="00DF44B4" w:rsidP="00DF44B4" w:rsidRDefault="00DF44B4">
      <w:pPr>
        <w:ind w:left="1076" w:right="709"/>
        <w:jc w:val="both"/>
        <w:rPr>
          <w:rFonts w:ascii="David" w:hAnsi="David"/>
          <w:sz w:val="28"/>
          <w:szCs w:val="28"/>
        </w:rPr>
      </w:pPr>
      <w:r>
        <w:rPr>
          <w:rFonts w:ascii="David" w:hAnsi="David"/>
          <w:sz w:val="28"/>
          <w:szCs w:val="28"/>
          <w:rtl/>
        </w:rPr>
        <w:t xml:space="preserve">"....תכלית עיקרית (גם אם לא בלעדית) של הקצבה המיוחדת על פי תקנה 10 הוא מימון טיפול סיעודי כללי לנפגע עבודה, ובענייננו - זו התכלית העיקרית של הקצבה המיוחדת ששולמה למנוח ולמר בגו. כפי העולה מתקנות קצבה מיוחדת, יש מספר "סוגים" של קצבה מיוחדת: קצבה מיוחדת להחזקה אישית, ששיעורה עולה ככל שמידת התלות של נפגע עבודה בעזרת הזולת בביצוע פעולות היום יום גדולה יותר </w:t>
      </w:r>
      <w:r>
        <w:rPr>
          <w:rFonts w:ascii="David" w:hAnsi="David"/>
          <w:b/>
          <w:bCs/>
          <w:sz w:val="28"/>
          <w:szCs w:val="28"/>
          <w:rtl/>
        </w:rPr>
        <w:t>או ככל שהצורך בהסעות שלא בתחבורה ציבורית גדול יותר</w:t>
      </w:r>
      <w:r>
        <w:rPr>
          <w:rFonts w:ascii="David" w:hAnsi="David"/>
          <w:sz w:val="28"/>
          <w:szCs w:val="28"/>
          <w:rtl/>
        </w:rPr>
        <w:t xml:space="preserve"> (תקנה 10); קצבה מיוחדת להחזקת רכב, בכפוף לזכאות לגמלת ניידות על פי הסכם הניידות– על פי הסדרים שונים המעוגנים בתקנות (תקנה 10א ותקנה 10ב) או באמצעות הגדלת סכום הקצבה המיוחדת על פי תקנה 10 ב- 10% (תקנה 10ג); ...  בכל הנוגע לקצבה מיוחדת המשולמת לפי תקנה 10, הרי נוכח המבחנים לקביעת שיעור הקצבה, כך ששיעור הקצבה עולה ככל שמידת התלות של נפגע העבודה בזולת בביצוע פעולות היום יום היא גבוהה יותר מתחייבת המסקנה כי תכלית עיקרית של הקצבה המיוחדת היא לממן לנפגע עבודה את הסיוע הנדרש לו בביצוע פעולות היום יום, עת בדרך כלל הסיוע ניתן על ידי עובד סיעודי המסייע לו בביצוע פעולות אלה. </w:t>
      </w:r>
      <w:r>
        <w:rPr>
          <w:rFonts w:ascii="David" w:hAnsi="David"/>
          <w:b/>
          <w:bCs/>
          <w:sz w:val="28"/>
          <w:szCs w:val="28"/>
          <w:rtl/>
        </w:rPr>
        <w:t>אכן, על פי תקנות 10(ב) ו- 10(ג) נפגע עבודה עשוי להיות זכאי לקצבה מיוחדת בשל כך שהוא נזקק במידה רבה או בקביעות להסעות שלא בתחבורה ציבורית</w:t>
      </w:r>
      <w:r>
        <w:rPr>
          <w:rFonts w:ascii="David" w:hAnsi="David"/>
          <w:sz w:val="28"/>
          <w:szCs w:val="28"/>
          <w:rtl/>
        </w:rPr>
        <w:t xml:space="preserve">. ... </w:t>
      </w:r>
      <w:r>
        <w:rPr>
          <w:rFonts w:ascii="David" w:hAnsi="David"/>
          <w:b/>
          <w:bCs/>
          <w:sz w:val="28"/>
          <w:szCs w:val="28"/>
          <w:rtl/>
        </w:rPr>
        <w:t>אולם אין בכך שלקצבה המיוחדת מספר תכליות, וכי הקצבה המיוחדת משתלמת גם לנפגע עבודה שאינו סיעודי על פי המבחנים שנקבעו בתקנות, כדי לשלול את מהותה ותכליתה העיקרית של קצבה מיוחדת המשתלמת על פי תקנה 10 - מימון הסיוע הדרוש לנפגע עבודה לצורך ביצוע פעולות יום יום – באותם מקרים שבהם היא משולמת לנפגע עבודה הנזקק לעזרה בביצוע פעולות היום יום</w:t>
      </w:r>
      <w:r>
        <w:rPr>
          <w:rFonts w:ascii="David" w:hAnsi="David"/>
          <w:sz w:val="28"/>
          <w:szCs w:val="28"/>
          <w:rtl/>
        </w:rPr>
        <w:t xml:space="preserve">. לכך יש להוסיף, כי על פי תקנה 10(ה) לתקנות, ככל שמשולמת לנכה קצבה להחזקת רכב, הזכאות לקצבה מיוחדת נגזרת אך ורק ממידת התלות בעזרת הזולת בביצוע פעולות יום יום, וכן כי על פי תקנה 10ג לתקנות שיעור הקצבה המיוחדת מוגדל ב- 10% מעבר למגיע על פי מידת התלות, ככל שנפגע עבודה אינו מקבל קצבת ניידות או קצבה מיוחדת להחזקת רכב. מכאן, כי באותם מקרים שבהם נפגע עבודה זקוק לסיוע בפעולות היום יום משולמת לו הקצבה המיוחדת לצורך כך, ומשולם לו תשלום נוסף לצורך ניידות. </w:t>
      </w:r>
    </w:p>
    <w:p w:rsidR="00DF44B4" w:rsidP="00DF44B4" w:rsidRDefault="00DF44B4">
      <w:pPr>
        <w:ind w:left="1076" w:right="709"/>
        <w:jc w:val="both"/>
        <w:rPr>
          <w:rFonts w:ascii="David" w:hAnsi="David"/>
          <w:sz w:val="28"/>
          <w:szCs w:val="28"/>
          <w:rtl/>
        </w:rPr>
      </w:pPr>
      <w:r>
        <w:rPr>
          <w:rFonts w:ascii="David" w:hAnsi="David"/>
          <w:sz w:val="28"/>
          <w:szCs w:val="28"/>
          <w:rtl/>
        </w:rPr>
        <w:t xml:space="preserve">בהתייחס לפסיקה אליה הפנתה גב' נאמן – </w:t>
      </w:r>
      <w:r>
        <w:rPr>
          <w:rFonts w:ascii="David" w:hAnsi="David"/>
          <w:b/>
          <w:bCs/>
          <w:sz w:val="28"/>
          <w:szCs w:val="28"/>
          <w:rtl/>
        </w:rPr>
        <w:t>הרי שבאותם מקרים אכן שולמה קצבה מיוחדת על פי החלופה השנייה בתקנה 10(ג), דהיינו הצורך הקבוע להסעות שלא בתחבורה ציבורית,</w:t>
      </w:r>
      <w:r>
        <w:rPr>
          <w:rFonts w:ascii="David" w:hAnsi="David"/>
          <w:sz w:val="28"/>
          <w:szCs w:val="28"/>
          <w:rtl/>
        </w:rPr>
        <w:t xml:space="preserve"> אולם כמוסבר אין בכך כדי לשלול כי תכלית עיקרית גם אם לא בלעדית של הקצבה המיוחדת הוא מימון הסיוע בביצוע פעולות יום יום, ובנסיבותיהם של המנוח ומר בגו זו תכלית הקצבה המיוחדת ששולמה להם". </w:t>
      </w:r>
    </w:p>
    <w:p w:rsidR="00DF44B4" w:rsidP="00DF44B4" w:rsidRDefault="00DF44B4">
      <w:pPr>
        <w:ind w:left="1076" w:right="709"/>
        <w:jc w:val="both"/>
        <w:rPr>
          <w:rFonts w:ascii="David" w:hAnsi="David"/>
          <w:sz w:val="28"/>
          <w:szCs w:val="28"/>
          <w:rtl/>
        </w:rPr>
      </w:pPr>
    </w:p>
    <w:p w:rsidR="00DF44B4" w:rsidP="00DF44B4" w:rsidRDefault="00DF44B4">
      <w:pPr>
        <w:ind w:left="4676" w:firstLine="364"/>
        <w:jc w:val="both"/>
        <w:rPr>
          <w:rFonts w:ascii="David" w:hAnsi="David"/>
          <w:sz w:val="28"/>
          <w:szCs w:val="28"/>
          <w:rtl/>
        </w:rPr>
      </w:pPr>
      <w:r>
        <w:rPr>
          <w:rFonts w:ascii="David" w:hAnsi="David"/>
          <w:sz w:val="28"/>
          <w:szCs w:val="28"/>
          <w:rtl/>
        </w:rPr>
        <w:t>(ההדגשה הוספה – ל.ג.).</w:t>
      </w:r>
    </w:p>
    <w:p w:rsidR="00DF44B4" w:rsidP="00DF44B4" w:rsidRDefault="00DF44B4">
      <w:pPr>
        <w:ind w:left="4676" w:firstLine="364"/>
        <w:jc w:val="both"/>
        <w:rPr>
          <w:rFonts w:ascii="David" w:hAnsi="David"/>
          <w:sz w:val="28"/>
          <w:szCs w:val="28"/>
          <w:rtl/>
        </w:rPr>
      </w:pPr>
    </w:p>
    <w:p w:rsidR="00DF44B4" w:rsidP="00DF44B4" w:rsidRDefault="00DF44B4">
      <w:pPr>
        <w:numPr>
          <w:ilvl w:val="0"/>
          <w:numId w:val="1"/>
        </w:numPr>
        <w:spacing w:line="360" w:lineRule="auto"/>
        <w:jc w:val="both"/>
        <w:rPr>
          <w:rFonts w:ascii="David" w:hAnsi="David"/>
          <w:sz w:val="28"/>
          <w:szCs w:val="28"/>
        </w:rPr>
      </w:pPr>
      <w:r>
        <w:rPr>
          <w:rFonts w:ascii="David" w:hAnsi="David"/>
          <w:sz w:val="28"/>
          <w:szCs w:val="28"/>
          <w:rtl/>
        </w:rPr>
        <w:t xml:space="preserve">נבהיר, כי בעניין </w:t>
      </w:r>
      <w:r>
        <w:rPr>
          <w:rFonts w:ascii="David" w:hAnsi="David"/>
          <w:b/>
          <w:bCs/>
          <w:sz w:val="28"/>
          <w:szCs w:val="28"/>
          <w:rtl/>
        </w:rPr>
        <w:t>נאמן ובגו</w:t>
      </w:r>
      <w:r>
        <w:rPr>
          <w:rFonts w:ascii="David" w:hAnsi="David"/>
          <w:sz w:val="28"/>
          <w:szCs w:val="28"/>
          <w:rtl/>
        </w:rPr>
        <w:t xml:space="preserve"> לא עלתה לדיון השאלה באלו תנאים יהיה זכאי נפגע עבודה לקצבה מיוחדת בחלופת תחבורה ציבורית, ועל כן (בניגוד לנטען על ידי המערערים) אין לראות בו אסמכתא לפרשנות הנטענת על ידם. </w:t>
      </w:r>
    </w:p>
    <w:p w:rsidR="00DF44B4" w:rsidP="00DF44B4" w:rsidRDefault="00DF44B4">
      <w:pPr>
        <w:numPr>
          <w:ilvl w:val="0"/>
          <w:numId w:val="1"/>
        </w:numPr>
        <w:spacing w:line="360" w:lineRule="auto"/>
        <w:jc w:val="both"/>
        <w:rPr>
          <w:rFonts w:cs="Arial" w:asciiTheme="minorHAnsi" w:hAnsiTheme="minorHAnsi"/>
          <w:sz w:val="28"/>
          <w:szCs w:val="28"/>
        </w:rPr>
      </w:pPr>
      <w:r>
        <w:rPr>
          <w:rFonts w:ascii="David" w:hAnsi="David"/>
          <w:sz w:val="28"/>
          <w:szCs w:val="28"/>
          <w:rtl/>
        </w:rPr>
        <w:t xml:space="preserve">עם זאת, שאלת זכאות נפגע עבודה שנוהג ברכבו נדונה במפורש ובמישרין בעניין </w:t>
      </w:r>
      <w:r>
        <w:rPr>
          <w:rFonts w:ascii="David" w:hAnsi="David"/>
          <w:b/>
          <w:bCs/>
          <w:sz w:val="28"/>
          <w:szCs w:val="28"/>
          <w:rtl/>
        </w:rPr>
        <w:t>עומרי</w:t>
      </w:r>
      <w:r>
        <w:rPr>
          <w:rFonts w:ascii="David" w:hAnsi="David"/>
          <w:sz w:val="28"/>
          <w:szCs w:val="28"/>
          <w:rtl/>
        </w:rPr>
        <w:t xml:space="preserve">, ובפסיקה נוספת בעקבותיו. </w:t>
      </w:r>
    </w:p>
    <w:p w:rsidR="00DF44B4" w:rsidP="00DF44B4" w:rsidRDefault="00DF44B4">
      <w:pPr>
        <w:numPr>
          <w:ilvl w:val="0"/>
          <w:numId w:val="1"/>
        </w:numPr>
        <w:spacing w:line="360" w:lineRule="auto"/>
        <w:jc w:val="both"/>
        <w:rPr>
          <w:rFonts w:cs="Arial" w:asciiTheme="minorHAnsi" w:hAnsiTheme="minorHAnsi"/>
          <w:sz w:val="28"/>
          <w:szCs w:val="28"/>
        </w:rPr>
      </w:pPr>
      <w:r>
        <w:rPr>
          <w:rFonts w:ascii="David" w:hAnsi="David"/>
          <w:sz w:val="28"/>
          <w:szCs w:val="28"/>
          <w:rtl/>
        </w:rPr>
        <w:t xml:space="preserve">בפסק דינו של בית הדין הארצי בעניין </w:t>
      </w:r>
      <w:r>
        <w:rPr>
          <w:rFonts w:ascii="David" w:hAnsi="David"/>
          <w:b/>
          <w:bCs/>
          <w:sz w:val="28"/>
          <w:szCs w:val="28"/>
          <w:rtl/>
        </w:rPr>
        <w:t>עומרי</w:t>
      </w:r>
      <w:r>
        <w:rPr>
          <w:rFonts w:ascii="David" w:hAnsi="David"/>
          <w:sz w:val="28"/>
          <w:szCs w:val="28"/>
          <w:rtl/>
        </w:rPr>
        <w:t xml:space="preserve"> נדונה זכאותו לקצבה מיוחדת של מר עומרי, אשר נפגע בעבודה בשורש כף ידו הימנית, וכתוצאה מהתאונה לא היה מסוגל לתפקד בידו הימנית. מר עומרי נהג במכונית פרטית שהותאמה לנכותו, </w:t>
      </w:r>
      <w:r>
        <w:rPr>
          <w:rFonts w:ascii="David" w:hAnsi="David"/>
          <w:b/>
          <w:bCs/>
          <w:sz w:val="28"/>
          <w:szCs w:val="28"/>
          <w:rtl/>
        </w:rPr>
        <w:t>הוא נהג בה בעצמו, ולא היה מוגבל באופן כלשהו בהליכה או בנהיגה ברכב פרטי</w:t>
      </w:r>
      <w:r>
        <w:rPr>
          <w:rFonts w:ascii="David" w:hAnsi="David"/>
          <w:sz w:val="28"/>
          <w:szCs w:val="28"/>
          <w:rtl/>
        </w:rPr>
        <w:t>. בית הדין הארצי דחה את הערעור שהגיש מר עומרי על פסק דינו של בית הדין האזורי, וקבע כי אינו זכאי לקצבה מיוחדת בחלופת תחבורה ציבורית מהטעם ש</w:t>
      </w:r>
      <w:r>
        <w:rPr>
          <w:rFonts w:cs="Arial" w:asciiTheme="minorHAnsi" w:hAnsiTheme="minorHAnsi"/>
          <w:sz w:val="28"/>
          <w:szCs w:val="28"/>
          <w:rtl/>
        </w:rPr>
        <w:t xml:space="preserve">- </w:t>
      </w:r>
    </w:p>
    <w:p w:rsidR="00DF44B4" w:rsidP="00DF44B4" w:rsidRDefault="00DF44B4">
      <w:pPr>
        <w:ind w:left="1219" w:right="709"/>
        <w:jc w:val="both"/>
        <w:rPr>
          <w:rFonts w:asciiTheme="minorHAnsi" w:hAnsiTheme="minorHAnsi"/>
          <w:b/>
          <w:bCs/>
          <w:sz w:val="28"/>
          <w:szCs w:val="28"/>
        </w:rPr>
      </w:pPr>
      <w:r>
        <w:rPr>
          <w:rFonts w:asciiTheme="minorHAnsi" w:hAnsiTheme="minorHAnsi"/>
          <w:sz w:val="28"/>
          <w:szCs w:val="28"/>
          <w:rtl/>
        </w:rPr>
        <w:t>"</w:t>
      </w:r>
      <w:r>
        <w:rPr>
          <w:rFonts w:asciiTheme="minorHAnsi" w:hAnsiTheme="minorHAnsi"/>
          <w:b/>
          <w:bCs/>
          <w:sz w:val="28"/>
          <w:szCs w:val="28"/>
          <w:rtl/>
        </w:rPr>
        <w:t>המערער במקרה שלפנינו אינו זקוק כלל להסעות עקב נכותו, מהיותו בעל רכב פרטי שאחזקתו אינה מחייבת הוצאה מיוחדת, ובו הוא משתמש בקביעות לצרכיו, לצרכי משפחתו ולעבודתו.</w:t>
      </w:r>
      <w:r>
        <w:rPr>
          <w:rFonts w:asciiTheme="minorHAnsi" w:hAnsiTheme="minorHAnsi"/>
          <w:sz w:val="28"/>
          <w:szCs w:val="28"/>
          <w:rtl/>
        </w:rPr>
        <w:t xml:space="preserve"> </w:t>
      </w:r>
      <w:r>
        <w:rPr>
          <w:rFonts w:asciiTheme="minorHAnsi" w:hAnsiTheme="minorHAnsi"/>
          <w:b/>
          <w:bCs/>
          <w:sz w:val="28"/>
          <w:szCs w:val="28"/>
          <w:rtl/>
        </w:rPr>
        <w:t xml:space="preserve">יתרה מזו, לא רק שהמערער אינו זקוק להסעות, אלא שהוא מבקש להתפרנס מהסעת אחרים, ולכן הגיש בקשה למשרד התחבורה לקבלת מספר ירוק למונית. </w:t>
      </w:r>
    </w:p>
    <w:p w:rsidR="00DF44B4" w:rsidP="00DF44B4" w:rsidRDefault="00DF44B4">
      <w:pPr>
        <w:ind w:left="1219" w:right="709"/>
        <w:jc w:val="both"/>
        <w:rPr>
          <w:rFonts w:ascii="David" w:hAnsi="David"/>
          <w:sz w:val="28"/>
          <w:szCs w:val="28"/>
          <w:rtl/>
        </w:rPr>
      </w:pPr>
      <w:r>
        <w:rPr>
          <w:rFonts w:ascii="David" w:hAnsi="David"/>
          <w:sz w:val="28"/>
          <w:szCs w:val="28"/>
          <w:rtl/>
        </w:rPr>
        <w:t xml:space="preserve">לאור האמור, הוצאות המערער לנסיעות אינן שונות מהוצאות אדם רגיל בעל רכב פרטי, ובנסיבות שכאלה, משלא הוכח כי נגרמו הוצאות מיוחדות עקב אי שימוש בתחבורה ציבורית – אין זכאות לקצבה המיוחדת הניתנת לנכה הזקוק עקב נכותו להסעות שלא בתחבורה ציבורית". </w:t>
      </w:r>
    </w:p>
    <w:p w:rsidR="00DF44B4" w:rsidP="00DF44B4" w:rsidRDefault="00DF44B4">
      <w:pPr>
        <w:spacing w:line="360" w:lineRule="auto"/>
        <w:ind w:left="360"/>
        <w:jc w:val="both"/>
        <w:rPr>
          <w:rFonts w:ascii="David" w:hAnsi="David"/>
          <w:sz w:val="28"/>
          <w:szCs w:val="28"/>
          <w:rtl/>
        </w:rPr>
      </w:pPr>
    </w:p>
    <w:p w:rsidR="00DF44B4" w:rsidP="00DF44B4" w:rsidRDefault="00DF44B4">
      <w:pPr>
        <w:spacing w:line="360" w:lineRule="auto"/>
        <w:ind w:left="4459" w:firstLine="581"/>
        <w:jc w:val="both"/>
        <w:rPr>
          <w:rFonts w:ascii="David" w:hAnsi="David"/>
          <w:sz w:val="28"/>
          <w:szCs w:val="28"/>
          <w:rtl/>
        </w:rPr>
      </w:pPr>
      <w:r>
        <w:rPr>
          <w:rFonts w:ascii="David" w:hAnsi="David"/>
          <w:sz w:val="28"/>
          <w:szCs w:val="28"/>
          <w:rtl/>
        </w:rPr>
        <w:t>(ההדגשה הוספה – ל.ג.)</w:t>
      </w:r>
    </w:p>
    <w:p w:rsidR="00DF44B4" w:rsidP="00DF44B4" w:rsidRDefault="00DF44B4">
      <w:pPr>
        <w:spacing w:line="360" w:lineRule="auto"/>
        <w:ind w:left="360"/>
        <w:jc w:val="both"/>
        <w:rPr>
          <w:rFonts w:ascii="David" w:hAnsi="David"/>
          <w:sz w:val="28"/>
          <w:szCs w:val="28"/>
          <w:rtl/>
        </w:rPr>
      </w:pPr>
      <w:r>
        <w:rPr>
          <w:rFonts w:ascii="David" w:hAnsi="David"/>
          <w:sz w:val="28"/>
          <w:szCs w:val="28"/>
          <w:rtl/>
        </w:rPr>
        <w:t xml:space="preserve">בית הדין הוסיף כי ככל שמר עומרי יהיה בעתיד חסר רכב הוא יוכל לתבוע שנית את הקצבה המיוחדת בחלופת תחבורה ציבורית, ואז – </w:t>
      </w:r>
    </w:p>
    <w:p w:rsidR="00DF44B4" w:rsidP="00DF44B4" w:rsidRDefault="00DF44B4">
      <w:pPr>
        <w:ind w:left="1219" w:right="567"/>
        <w:jc w:val="both"/>
        <w:rPr>
          <w:rFonts w:ascii="David" w:hAnsi="David"/>
          <w:sz w:val="28"/>
          <w:szCs w:val="28"/>
          <w:rtl/>
        </w:rPr>
      </w:pPr>
      <w:r>
        <w:rPr>
          <w:rFonts w:ascii="David" w:hAnsi="David"/>
          <w:sz w:val="28"/>
          <w:szCs w:val="28"/>
          <w:rtl/>
        </w:rPr>
        <w:t xml:space="preserve">"...קביעת הזקקותו להסעות שלא בתחבורה ציבורית, תהא תלויה בין השאר, במקום מגוריו וסידורי התחבורה במקום, לרבות שירות מוניות. לעניין זה מונית "ספיישל" אינה ראויה להיחשב כתחבורה ציבורית אלא להיפך, כגורמת להוצאה מיוחדת במקרה של העדר שימוש בתחבורה ציבורית שאפשר שתזכה לכן בהגדלת הקצבה המיוחדת. משלא הוכיח שקיים שירות מוניות במקום מגוריו, ובהעדר מגבלה של המערער להגיע לתחנת האוטובוס רגלית ככל אדם אחר, זכאותו לקצבה מיוחדת, כאמור, תצטרך להיקבע עפ"י יכולתו להשתמש באוטובוסים לאור נכותו. לעניין זה אין מקום כמובן להבעת דעה עתה, אולם ראוי לשים לב כי באוטובוס הוקצו מקומות ישיבה מיוחדים לנכים, ועפ"י החלטת הוועדה הרפואית מיום 20.10.95, שהיא הקובעת לעניין נכותו, 'הוא מסוגל להעזר בגפה הימנית ככלי עזר לגפה השמאלית כיון שלדבריו הינו שולט שליטה מלאה בשתי ידיו'". </w:t>
      </w:r>
    </w:p>
    <w:p w:rsidR="00DF44B4" w:rsidP="00DF44B4" w:rsidRDefault="00DF44B4">
      <w:pPr>
        <w:ind w:left="1219" w:right="567"/>
        <w:jc w:val="both"/>
        <w:rPr>
          <w:rFonts w:ascii="David" w:hAnsi="David"/>
          <w:sz w:val="28"/>
          <w:szCs w:val="28"/>
          <w:rtl/>
        </w:rPr>
      </w:pPr>
    </w:p>
    <w:p w:rsidR="00DF44B4" w:rsidP="00DF44B4" w:rsidRDefault="00DF44B4">
      <w:pPr>
        <w:numPr>
          <w:ilvl w:val="0"/>
          <w:numId w:val="1"/>
        </w:numPr>
        <w:spacing w:line="360" w:lineRule="auto"/>
        <w:jc w:val="both"/>
        <w:rPr>
          <w:rFonts w:ascii="David" w:hAnsi="David"/>
          <w:sz w:val="28"/>
          <w:szCs w:val="28"/>
          <w:rtl/>
        </w:rPr>
      </w:pPr>
      <w:r>
        <w:rPr>
          <w:rFonts w:ascii="David" w:hAnsi="David"/>
          <w:sz w:val="28"/>
          <w:szCs w:val="28"/>
          <w:rtl/>
        </w:rPr>
        <w:t>על פסק דינו של בית הדין הארצי הוגשה עתירה לבג"ץ וניתן פסק דין בהסכמה כמפורט להלן:</w:t>
      </w:r>
    </w:p>
    <w:p w:rsidR="00DF44B4" w:rsidP="00DF44B4" w:rsidRDefault="00DF44B4">
      <w:pPr>
        <w:ind w:left="1218" w:right="709"/>
        <w:jc w:val="both"/>
        <w:rPr>
          <w:rFonts w:ascii="David" w:hAnsi="David"/>
          <w:b/>
          <w:bCs/>
          <w:sz w:val="28"/>
          <w:szCs w:val="28"/>
        </w:rPr>
      </w:pPr>
      <w:r>
        <w:rPr>
          <w:rFonts w:ascii="David" w:hAnsi="David"/>
          <w:sz w:val="28"/>
          <w:szCs w:val="28"/>
          <w:rtl/>
        </w:rPr>
        <w:t xml:space="preserve">"בהסכמת הצדדים, </w:t>
      </w:r>
      <w:r>
        <w:rPr>
          <w:rFonts w:ascii="David" w:hAnsi="David"/>
          <w:b/>
          <w:bCs/>
          <w:sz w:val="28"/>
          <w:szCs w:val="28"/>
          <w:rtl/>
        </w:rPr>
        <w:t>אנו עושים הצו על תנאי למוחלט, במובן זה</w:t>
      </w:r>
      <w:r>
        <w:rPr>
          <w:rFonts w:ascii="David" w:hAnsi="David"/>
          <w:sz w:val="28"/>
          <w:szCs w:val="28"/>
          <w:rtl/>
        </w:rPr>
        <w:t xml:space="preserve"> </w:t>
      </w:r>
      <w:r>
        <w:rPr>
          <w:rFonts w:ascii="David" w:hAnsi="David"/>
          <w:b/>
          <w:bCs/>
          <w:sz w:val="28"/>
          <w:szCs w:val="28"/>
          <w:rtl/>
        </w:rPr>
        <w:t xml:space="preserve">שפסק הדין בתיק נו/50 – 0 יבוטל, </w:t>
      </w:r>
      <w:r>
        <w:rPr>
          <w:rFonts w:ascii="David" w:hAnsi="David"/>
          <w:sz w:val="28"/>
          <w:szCs w:val="28"/>
          <w:rtl/>
        </w:rPr>
        <w:t xml:space="preserve">ועניינו של העותר יוחזר לבית הדין האזורי לעבודה בחיפה, שידון בשאלה אם העותר זקוק עקב נכותו ל"הסעות שלא בתחבורה ציבורית במידה רבה", </w:t>
      </w:r>
      <w:r>
        <w:rPr>
          <w:rFonts w:ascii="David" w:hAnsi="David"/>
          <w:b/>
          <w:bCs/>
          <w:sz w:val="28"/>
          <w:szCs w:val="28"/>
          <w:rtl/>
        </w:rPr>
        <w:t xml:space="preserve">וזאת בהתעלם מהיותו בעל רכב". </w:t>
      </w:r>
    </w:p>
    <w:p w:rsidR="00DF44B4" w:rsidP="00DF44B4" w:rsidRDefault="00DF44B4">
      <w:pPr>
        <w:ind w:left="3946" w:firstLine="374"/>
        <w:jc w:val="both"/>
        <w:rPr>
          <w:rFonts w:ascii="David" w:hAnsi="David"/>
          <w:sz w:val="28"/>
          <w:szCs w:val="28"/>
          <w:rtl/>
        </w:rPr>
      </w:pPr>
      <w:r>
        <w:rPr>
          <w:rFonts w:ascii="David" w:hAnsi="David"/>
          <w:sz w:val="28"/>
          <w:szCs w:val="28"/>
          <w:rtl/>
        </w:rPr>
        <w:t>(ההדגשה הוספה – ל.ג.)</w:t>
      </w:r>
    </w:p>
    <w:p w:rsidR="00DF44B4" w:rsidP="00DF44B4" w:rsidRDefault="00DF44B4">
      <w:pPr>
        <w:ind w:left="3946" w:firstLine="374"/>
        <w:jc w:val="both"/>
        <w:rPr>
          <w:rFonts w:ascii="David" w:hAnsi="David"/>
          <w:sz w:val="28"/>
          <w:szCs w:val="28"/>
          <w:rtl/>
        </w:rPr>
      </w:pPr>
    </w:p>
    <w:p w:rsidR="00DF44B4" w:rsidP="00DF44B4" w:rsidRDefault="00DF44B4">
      <w:pPr>
        <w:numPr>
          <w:ilvl w:val="0"/>
          <w:numId w:val="1"/>
        </w:numPr>
        <w:spacing w:line="360" w:lineRule="auto"/>
        <w:ind w:left="509"/>
        <w:jc w:val="both"/>
        <w:rPr>
          <w:rFonts w:ascii="David" w:hAnsi="David"/>
          <w:b/>
          <w:bCs/>
          <w:sz w:val="28"/>
          <w:szCs w:val="28"/>
        </w:rPr>
      </w:pPr>
      <w:r>
        <w:rPr>
          <w:rFonts w:ascii="David" w:hAnsi="David"/>
          <w:sz w:val="28"/>
          <w:szCs w:val="28"/>
          <w:rtl/>
        </w:rPr>
        <w:t xml:space="preserve">בהמשך לכך, דן בית הדין האזורי שנית בעניינו של מר עומרי, וקבע כי הוא זקוק להסעה שלא בתחבורה ציבורית, </w:t>
      </w:r>
      <w:r>
        <w:rPr>
          <w:rFonts w:ascii="David" w:hAnsi="David"/>
          <w:b/>
          <w:bCs/>
          <w:sz w:val="28"/>
          <w:szCs w:val="28"/>
          <w:rtl/>
        </w:rPr>
        <w:t xml:space="preserve">"אם אין לוקחים בחשבון את </w:t>
      </w:r>
      <w:r>
        <w:rPr>
          <w:rFonts w:ascii="David" w:hAnsi="David"/>
          <w:b/>
          <w:bCs/>
          <w:sz w:val="28"/>
          <w:szCs w:val="28"/>
          <w:u w:val="single"/>
          <w:rtl/>
        </w:rPr>
        <w:t>שימושו</w:t>
      </w:r>
      <w:r>
        <w:rPr>
          <w:rFonts w:ascii="David" w:hAnsi="David"/>
          <w:b/>
          <w:bCs/>
          <w:sz w:val="28"/>
          <w:szCs w:val="28"/>
          <w:rtl/>
        </w:rPr>
        <w:t xml:space="preserve"> ברכבו הפרטי כמצווה עלינו על פי פסק הדין, שניתן בהסכמה, בבית המשפט העליון". </w:t>
      </w:r>
      <w:r>
        <w:rPr>
          <w:rFonts w:ascii="David" w:hAnsi="David"/>
          <w:sz w:val="28"/>
          <w:szCs w:val="28"/>
          <w:rtl/>
        </w:rPr>
        <w:t xml:space="preserve">(ההדגשה הוספה – ל.ג.). בית הדין האזורי קבע לעניין </w:t>
      </w:r>
      <w:r>
        <w:rPr>
          <w:rFonts w:ascii="David" w:hAnsi="David"/>
          <w:b/>
          <w:bCs/>
          <w:sz w:val="28"/>
          <w:szCs w:val="28"/>
          <w:rtl/>
        </w:rPr>
        <w:t>היקף</w:t>
      </w:r>
      <w:r>
        <w:rPr>
          <w:rFonts w:ascii="David" w:hAnsi="David"/>
          <w:sz w:val="28"/>
          <w:szCs w:val="28"/>
          <w:rtl/>
        </w:rPr>
        <w:t xml:space="preserve"> נסיעותיו של מר עומרי, "במידה רבה" או "בקביעות", כי בהתחשב בכך שאינו זקוק לנסיעות מיוחדות לצורך טיפולים רפואיים, אינו זקוק לנסיעות יום יומיות מחוץ לעיר לצורך עבודתו וכי מקום עבודתו הרגיל הוא במרחק קצר מביתו, וכי בסידורים הקשורים בבית ובמשפחה מסייעת לו אשתו – יש לראותו כמי שזקוק להסעות שלא בתחבורה ציבורית במידה רבה אך לא בקביעות. </w:t>
      </w:r>
    </w:p>
    <w:p w:rsidR="00DF44B4" w:rsidP="00DF44B4" w:rsidRDefault="00DF44B4">
      <w:pPr>
        <w:numPr>
          <w:ilvl w:val="0"/>
          <w:numId w:val="1"/>
        </w:numPr>
        <w:spacing w:line="360" w:lineRule="auto"/>
        <w:jc w:val="both"/>
        <w:rPr>
          <w:rFonts w:ascii="David" w:hAnsi="David"/>
          <w:b/>
          <w:bCs/>
          <w:sz w:val="28"/>
          <w:szCs w:val="28"/>
        </w:rPr>
      </w:pPr>
      <w:r>
        <w:rPr>
          <w:rFonts w:ascii="David" w:hAnsi="David"/>
          <w:sz w:val="28"/>
          <w:szCs w:val="28"/>
          <w:rtl/>
        </w:rPr>
        <w:t xml:space="preserve">בעניין </w:t>
      </w:r>
      <w:r>
        <w:rPr>
          <w:rFonts w:ascii="David" w:hAnsi="David"/>
          <w:b/>
          <w:bCs/>
          <w:sz w:val="28"/>
          <w:szCs w:val="28"/>
          <w:rtl/>
        </w:rPr>
        <w:t>שריקי</w:t>
      </w:r>
      <w:r>
        <w:rPr>
          <w:rFonts w:ascii="David" w:hAnsi="David"/>
          <w:sz w:val="28"/>
          <w:szCs w:val="28"/>
          <w:rtl/>
        </w:rPr>
        <w:t xml:space="preserve"> [ב"ל (חי) דב"ע נז/1020 – 0 </w:t>
      </w:r>
      <w:r>
        <w:rPr>
          <w:rFonts w:ascii="David" w:hAnsi="David"/>
          <w:b/>
          <w:bCs/>
          <w:sz w:val="28"/>
          <w:szCs w:val="28"/>
          <w:rtl/>
        </w:rPr>
        <w:t xml:space="preserve">משה שריקי – המוסד לביטוח לאומי </w:t>
      </w:r>
      <w:r>
        <w:rPr>
          <w:rFonts w:ascii="David" w:hAnsi="David"/>
          <w:sz w:val="28"/>
          <w:szCs w:val="28"/>
          <w:rtl/>
        </w:rPr>
        <w:t>(16.8.1999)] נדון עניינו של מבוטח שנקבע כי אינו יכול להשתמש בתחבורה ציבורית והוא נוהג בעצמו ברכבו הפרטי ונקבע:</w:t>
      </w:r>
    </w:p>
    <w:p w:rsidR="00DF44B4" w:rsidP="00DF44B4" w:rsidRDefault="00DF44B4">
      <w:pPr>
        <w:ind w:left="1218" w:right="709"/>
        <w:jc w:val="both"/>
        <w:rPr>
          <w:rFonts w:ascii="David" w:hAnsi="David"/>
          <w:sz w:val="28"/>
          <w:szCs w:val="28"/>
        </w:rPr>
      </w:pPr>
      <w:r>
        <w:rPr>
          <w:rFonts w:ascii="David" w:hAnsi="David"/>
          <w:sz w:val="28"/>
          <w:szCs w:val="28"/>
          <w:rtl/>
        </w:rPr>
        <w:t xml:space="preserve">"אין מחלוקת כי התובע אינו נוהג להשתמש בתחבורה ציבורית, בבעלותו מכונית פרטית המשמשת אותו לכל צרכיו. </w:t>
      </w:r>
      <w:r>
        <w:rPr>
          <w:rFonts w:ascii="David" w:hAnsi="David"/>
          <w:b/>
          <w:bCs/>
          <w:sz w:val="28"/>
          <w:szCs w:val="28"/>
          <w:rtl/>
        </w:rPr>
        <w:t>הוא נוהג במכונית בעצמו ולא נזקק ל'הסעות' על ידי אחר</w:t>
      </w:r>
      <w:r>
        <w:rPr>
          <w:rFonts w:ascii="David" w:hAnsi="David"/>
          <w:sz w:val="28"/>
          <w:szCs w:val="28"/>
          <w:rtl/>
        </w:rPr>
        <w:t xml:space="preserve">. אין גם מחלוקת כי התובע אינו מקבל קצבת ניידות לפי הסכם הניידות. לגבי השאלה אם התובע 'זקוק להסעות שלא בתחבורה ציבורית' בין אם 'בקביעות' ובין אם 'במידה רבה' </w:t>
      </w:r>
      <w:r>
        <w:rPr>
          <w:rFonts w:ascii="David" w:hAnsi="David"/>
          <w:b/>
          <w:bCs/>
          <w:sz w:val="28"/>
          <w:szCs w:val="28"/>
          <w:rtl/>
        </w:rPr>
        <w:t>העובדה שהוא נוהג בעצמו ברכב אשר בבעלותו אינה שוקלת</w:t>
      </w:r>
      <w:r>
        <w:rPr>
          <w:rFonts w:ascii="David" w:hAnsi="David"/>
          <w:sz w:val="28"/>
          <w:szCs w:val="28"/>
          <w:rtl/>
        </w:rPr>
        <w:t xml:space="preserve">. עמדה שונה נפסקה אמנם בבית דין זה בתב"ע נד/486 – 0 ואושרה בערעור על ידי בית הדין הארצי בדב"ע נו/50 – 0 יוסף עומרי נ' המוסד לביטוח לאומי (לא פורסם) שם נקבע, לעניין ההזדקקות להסעות, לגבי נכה הנוהג ברכב פרטי: </w:t>
      </w:r>
    </w:p>
    <w:p w:rsidR="00DF44B4" w:rsidP="00DF44B4" w:rsidRDefault="00DF44B4">
      <w:pPr>
        <w:ind w:left="1786" w:right="1276"/>
        <w:jc w:val="both"/>
        <w:rPr>
          <w:rFonts w:ascii="David" w:hAnsi="David"/>
          <w:sz w:val="28"/>
          <w:szCs w:val="28"/>
        </w:rPr>
      </w:pPr>
      <w:r>
        <w:rPr>
          <w:rFonts w:ascii="David" w:hAnsi="David"/>
          <w:sz w:val="28"/>
          <w:szCs w:val="28"/>
          <w:rtl/>
        </w:rPr>
        <w:t>...</w:t>
      </w:r>
    </w:p>
    <w:p w:rsidR="00DF44B4" w:rsidP="00DF44B4" w:rsidRDefault="00DF44B4">
      <w:pPr>
        <w:ind w:left="1218" w:right="709"/>
        <w:jc w:val="both"/>
        <w:rPr>
          <w:rFonts w:ascii="David" w:hAnsi="David"/>
          <w:sz w:val="28"/>
          <w:szCs w:val="28"/>
          <w:rtl/>
        </w:rPr>
      </w:pPr>
      <w:r>
        <w:rPr>
          <w:rFonts w:ascii="David" w:hAnsi="David"/>
          <w:sz w:val="28"/>
          <w:szCs w:val="28"/>
          <w:rtl/>
        </w:rPr>
        <w:t>אולם בעתירה לבג"צ שהגיש יוסף עומרי הנ"ל ניתן בבית המשפט העליון פסק דין כדלקמן :</w:t>
      </w:r>
    </w:p>
    <w:p w:rsidR="00DF44B4" w:rsidP="00DF44B4" w:rsidRDefault="00DF44B4">
      <w:pPr>
        <w:ind w:left="1218" w:right="709"/>
        <w:jc w:val="both"/>
        <w:rPr>
          <w:rFonts w:ascii="David" w:hAnsi="David"/>
          <w:sz w:val="28"/>
          <w:szCs w:val="28"/>
        </w:rPr>
      </w:pPr>
      <w:r>
        <w:rPr>
          <w:rFonts w:ascii="David" w:hAnsi="David"/>
          <w:sz w:val="28"/>
          <w:szCs w:val="28"/>
          <w:rtl/>
        </w:rPr>
        <w:t>...</w:t>
      </w:r>
    </w:p>
    <w:p w:rsidR="00DF44B4" w:rsidP="00DF44B4" w:rsidRDefault="00DF44B4">
      <w:pPr>
        <w:ind w:left="1218" w:right="709"/>
        <w:jc w:val="both"/>
        <w:rPr>
          <w:rFonts w:ascii="David" w:hAnsi="David"/>
          <w:b/>
          <w:bCs/>
          <w:sz w:val="28"/>
          <w:szCs w:val="28"/>
        </w:rPr>
      </w:pPr>
      <w:r>
        <w:rPr>
          <w:rFonts w:ascii="David" w:hAnsi="David"/>
          <w:b/>
          <w:bCs/>
          <w:sz w:val="28"/>
          <w:szCs w:val="28"/>
          <w:rtl/>
        </w:rPr>
        <w:t xml:space="preserve">מכאן, שאף לדעת המוסד לביטוח לאומי, כפי שהוסכם בבג"צ זה – לעניין הצורך בהסעה שלא בתחבורה ציבורית אין להביא בחשבון השיקולים את העובדה שהנכה נוהג בעצמו ברכב משלו". </w:t>
      </w:r>
    </w:p>
    <w:p w:rsidR="00DF44B4" w:rsidP="00DF44B4" w:rsidRDefault="00DF44B4">
      <w:pPr>
        <w:bidi w:val="0"/>
        <w:spacing w:line="256" w:lineRule="auto"/>
        <w:rPr>
          <w:rFonts w:ascii="David" w:hAnsi="David"/>
          <w:sz w:val="28"/>
          <w:szCs w:val="28"/>
          <w:rtl/>
        </w:rPr>
      </w:pPr>
      <w:r>
        <w:rPr>
          <w:rFonts w:ascii="David" w:hAnsi="David"/>
          <w:sz w:val="28"/>
          <w:szCs w:val="28"/>
          <w:rtl/>
        </w:rPr>
        <w:t>(ההדגשה הוספה – ל.ג.)</w:t>
      </w:r>
    </w:p>
    <w:p w:rsidR="00DF44B4" w:rsidP="00DF44B4" w:rsidRDefault="00DF44B4">
      <w:pPr>
        <w:bidi w:val="0"/>
        <w:spacing w:line="256" w:lineRule="auto"/>
        <w:rPr>
          <w:rFonts w:ascii="David" w:hAnsi="David"/>
          <w:sz w:val="28"/>
          <w:szCs w:val="28"/>
          <w:rtl/>
        </w:rPr>
      </w:pPr>
    </w:p>
    <w:p w:rsidR="00DF44B4" w:rsidP="00DF44B4" w:rsidRDefault="00DF44B4">
      <w:pPr>
        <w:numPr>
          <w:ilvl w:val="0"/>
          <w:numId w:val="1"/>
        </w:numPr>
        <w:spacing w:line="360" w:lineRule="auto"/>
        <w:jc w:val="both"/>
        <w:rPr>
          <w:rFonts w:ascii="David" w:hAnsi="David"/>
          <w:sz w:val="28"/>
          <w:szCs w:val="28"/>
        </w:rPr>
      </w:pPr>
      <w:r>
        <w:rPr>
          <w:rFonts w:ascii="David" w:hAnsi="David"/>
          <w:sz w:val="28"/>
          <w:szCs w:val="28"/>
          <w:rtl/>
        </w:rPr>
        <w:t xml:space="preserve">השאלה הראשונה אותה יש לבחון היא האם נוכח פסק הדין בבג"ץ </w:t>
      </w:r>
      <w:r>
        <w:rPr>
          <w:rFonts w:ascii="David" w:hAnsi="David"/>
          <w:b/>
          <w:bCs/>
          <w:sz w:val="28"/>
          <w:szCs w:val="28"/>
          <w:rtl/>
        </w:rPr>
        <w:t>עומרי</w:t>
      </w:r>
      <w:r>
        <w:rPr>
          <w:rFonts w:ascii="David" w:hAnsi="David"/>
          <w:sz w:val="28"/>
          <w:szCs w:val="28"/>
          <w:rtl/>
        </w:rPr>
        <w:t xml:space="preserve">, שלפיו פעל המוסד במשך שנים רבות, יכול המוסד ממועד מסוים לפעול על פי הפרשנות שנדחתה למעשה בבג"ץ </w:t>
      </w:r>
      <w:r>
        <w:rPr>
          <w:rFonts w:ascii="David" w:hAnsi="David"/>
          <w:b/>
          <w:bCs/>
          <w:sz w:val="28"/>
          <w:szCs w:val="28"/>
          <w:rtl/>
        </w:rPr>
        <w:t>עומרי</w:t>
      </w:r>
      <w:r>
        <w:rPr>
          <w:rFonts w:ascii="David" w:hAnsi="David"/>
          <w:sz w:val="28"/>
          <w:szCs w:val="28"/>
          <w:rtl/>
        </w:rPr>
        <w:t xml:space="preserve">. בהקשר זה נבהיר כי איננו מקבלים את טענת המוסד כי פסק הדין בבג"ץ </w:t>
      </w:r>
      <w:r>
        <w:rPr>
          <w:rFonts w:ascii="David" w:hAnsi="David"/>
          <w:b/>
          <w:bCs/>
          <w:sz w:val="28"/>
          <w:szCs w:val="28"/>
          <w:rtl/>
        </w:rPr>
        <w:t>עומרי</w:t>
      </w:r>
      <w:r>
        <w:rPr>
          <w:rFonts w:ascii="David" w:hAnsi="David"/>
          <w:sz w:val="28"/>
          <w:szCs w:val="28"/>
          <w:rtl/>
        </w:rPr>
        <w:t xml:space="preserve"> עניינו השלכות </w:t>
      </w:r>
      <w:r>
        <w:rPr>
          <w:rFonts w:ascii="David" w:hAnsi="David"/>
          <w:b/>
          <w:bCs/>
          <w:sz w:val="28"/>
          <w:szCs w:val="28"/>
          <w:rtl/>
        </w:rPr>
        <w:t xml:space="preserve">בעלות על רכב </w:t>
      </w:r>
      <w:r>
        <w:rPr>
          <w:rFonts w:ascii="David" w:hAnsi="David"/>
          <w:sz w:val="28"/>
          <w:szCs w:val="28"/>
          <w:rtl/>
        </w:rPr>
        <w:t xml:space="preserve">ולא נהיגה עצמית של נכה העבודה ברכב. לא ניתן לנתק את פסק הדין בבג"ץ </w:t>
      </w:r>
      <w:r>
        <w:rPr>
          <w:rFonts w:ascii="David" w:hAnsi="David"/>
          <w:b/>
          <w:bCs/>
          <w:sz w:val="28"/>
          <w:szCs w:val="28"/>
          <w:rtl/>
        </w:rPr>
        <w:t xml:space="preserve">עומרי </w:t>
      </w:r>
      <w:r>
        <w:rPr>
          <w:rFonts w:ascii="David" w:hAnsi="David"/>
          <w:sz w:val="28"/>
          <w:szCs w:val="28"/>
          <w:rtl/>
        </w:rPr>
        <w:t xml:space="preserve">מההקשר, ולהתעלם מהנסיבות העובדתיות של המקרה ומההנמקה שניתנה על ידי בית הארצי לשלילת הזכאות – העובדה שמר עומרי נוהג בעצמו ברכבו ואינו זקוק להסעה על ידי אחר. לטעמנו, התייחסות בית הדין האזורי בעניין </w:t>
      </w:r>
      <w:r>
        <w:rPr>
          <w:rFonts w:ascii="David" w:hAnsi="David"/>
          <w:b/>
          <w:bCs/>
          <w:sz w:val="28"/>
          <w:szCs w:val="28"/>
          <w:rtl/>
        </w:rPr>
        <w:t>שריקי</w:t>
      </w:r>
      <w:r>
        <w:rPr>
          <w:rFonts w:ascii="David" w:hAnsi="David"/>
          <w:sz w:val="28"/>
          <w:szCs w:val="28"/>
          <w:rtl/>
        </w:rPr>
        <w:t xml:space="preserve"> לפסק הדין בבג"ץ </w:t>
      </w:r>
      <w:r>
        <w:rPr>
          <w:rFonts w:ascii="David" w:hAnsi="David"/>
          <w:b/>
          <w:bCs/>
          <w:sz w:val="28"/>
          <w:szCs w:val="28"/>
          <w:rtl/>
        </w:rPr>
        <w:t>עומרי</w:t>
      </w:r>
      <w:r>
        <w:rPr>
          <w:rFonts w:ascii="David" w:hAnsi="David"/>
          <w:sz w:val="28"/>
          <w:szCs w:val="28"/>
          <w:rtl/>
        </w:rPr>
        <w:t xml:space="preserve"> משקפת נכונה את הסכמתו של המוסד לביטוח לאומי. יחד עם זאת, מקובלת עלינו עמדת המוסד שלא כל הסכמה שניתנת על ידו בהליך זה או אחר לפעול בדרך מסוימת כובלת את שיקול דעתו בהתייחס למקרים אחרים, ויש לבחון את מהות ההסכמה ותוכנה. כך, לעתים קרובות, הסכמת המוסד ניתנת בהתחשב בנסיבות קונקרטיות, לעתים אף לפנים משורת הדין, והסכמות אלה אינן יוצרות תקדים המחייב את המוסד במקרים אחרים. עם זאת, יש לטעמנו משקל לכך שמעבר להסכמה להחזיר את עניינו של מר עומרי לבית הדין האזורי בהתעלם מהיותו בעל רכב הוסכם על </w:t>
      </w:r>
      <w:r>
        <w:rPr>
          <w:rFonts w:ascii="David" w:hAnsi="David"/>
          <w:b/>
          <w:bCs/>
          <w:sz w:val="28"/>
          <w:szCs w:val="28"/>
          <w:rtl/>
        </w:rPr>
        <w:t>ביטול פסק דינו של בית הדין הארצי לעבודה,</w:t>
      </w:r>
      <w:r>
        <w:rPr>
          <w:rFonts w:ascii="David" w:hAnsi="David"/>
          <w:sz w:val="28"/>
          <w:szCs w:val="28"/>
          <w:rtl/>
        </w:rPr>
        <w:t xml:space="preserve"> שבו נתקבלה גישת המוסד לפרשנות חלופת תחבורה ציבורית. מכאן, על פני הדברים, שאין מדובר בהסכמה נקודתית בעניינו של מר עומרי, אלא בהסכמה כי פרשנות בית הדין הארצי לחלופת תחבורה ציבורית בטלה. </w:t>
      </w:r>
    </w:p>
    <w:p w:rsidR="00DF44B4" w:rsidP="00DF44B4" w:rsidRDefault="00DF44B4">
      <w:pPr>
        <w:numPr>
          <w:ilvl w:val="0"/>
          <w:numId w:val="1"/>
        </w:numPr>
        <w:spacing w:line="360" w:lineRule="auto"/>
        <w:jc w:val="both"/>
        <w:rPr>
          <w:rFonts w:ascii="David" w:hAnsi="David"/>
          <w:sz w:val="28"/>
          <w:szCs w:val="28"/>
        </w:rPr>
      </w:pPr>
      <w:r>
        <w:rPr>
          <w:rFonts w:ascii="David" w:hAnsi="David"/>
          <w:sz w:val="28"/>
          <w:szCs w:val="28"/>
          <w:rtl/>
        </w:rPr>
        <w:t>בענייננו, לדעתנו כובד המשקל צריך להינתן לאופן בו נהג המוסד לאחר בג"ץ</w:t>
      </w:r>
      <w:r>
        <w:rPr>
          <w:rFonts w:ascii="David" w:hAnsi="David"/>
          <w:b/>
          <w:bCs/>
          <w:sz w:val="28"/>
          <w:szCs w:val="28"/>
          <w:rtl/>
        </w:rPr>
        <w:t xml:space="preserve"> עומרי</w:t>
      </w:r>
      <w:r>
        <w:rPr>
          <w:rFonts w:ascii="David" w:hAnsi="David"/>
          <w:sz w:val="28"/>
          <w:szCs w:val="28"/>
          <w:rtl/>
        </w:rPr>
        <w:t xml:space="preserve">. אין חולק, והדברים עולים הן מעדותה של גב' כרמל סטינגר, מנהלת אגף השיקום בעניינו של מר רונן והן מטיעון המוסד לפנינו, כי במשך שנים רבות המוסד יישם את בג"ץ </w:t>
      </w:r>
      <w:r>
        <w:rPr>
          <w:rFonts w:ascii="David" w:hAnsi="David"/>
          <w:b/>
          <w:bCs/>
          <w:sz w:val="28"/>
          <w:szCs w:val="28"/>
          <w:rtl/>
        </w:rPr>
        <w:t>עומרי,</w:t>
      </w:r>
      <w:r>
        <w:rPr>
          <w:rFonts w:ascii="David" w:hAnsi="David"/>
          <w:sz w:val="28"/>
          <w:szCs w:val="28"/>
          <w:rtl/>
        </w:rPr>
        <w:t xml:space="preserve"> ולא העלה את הטענה כי נפגע עבודה שנוהג בעצמו ברכב אינו זכאי לקצבה מיוחדת בחלופת תחבורה ציבורית. הדברים עולים במפורש מדברי בא כוח המוסד לפנינו (פרוטוקול ע' 1 שורות 14 – 15), ומעדותה של גב' סטינגר בהליך בעניינו של מר רונן (פרוטוקול יום 30.10.2019, ע' 23 ש' 28, ע' 24 – ע' 25). הדבר עולה גם מהפסיקה, שבה נקודת המוצא הייתה שקמה זכאות לקצבה מיוחדת ככל שמתקיימים בנכה עבודה (הנוהג בעצמו) הקריטריונים לזכאות, ונבחנה בכל מקרה רק השאלה האם נפגע העבודה אכן אינו יכול להשתמש בתחבורה ציבורית והרמה של הקצבה המיוחדת המגיעה לו – רמה ב' או רמה ג' לפי מידת ההיזקקות להסעה שלא בתחבורה ציבורית. בהליכים אלה, המוסד לא טען כי עצם העובדה שנכה העבודה נוהג בעצמו שוללת את זכאותו לקצבה מיוחדת. </w:t>
      </w:r>
    </w:p>
    <w:p w:rsidR="00DF44B4" w:rsidP="00DF44B4" w:rsidRDefault="00DF44B4">
      <w:pPr>
        <w:spacing w:line="360" w:lineRule="auto"/>
        <w:ind w:left="360"/>
        <w:jc w:val="both"/>
        <w:rPr>
          <w:rFonts w:ascii="David" w:hAnsi="David"/>
          <w:sz w:val="28"/>
          <w:szCs w:val="28"/>
        </w:rPr>
      </w:pPr>
      <w:r>
        <w:rPr>
          <w:rFonts w:ascii="David" w:hAnsi="David"/>
          <w:sz w:val="28"/>
          <w:szCs w:val="28"/>
          <w:rtl/>
        </w:rPr>
        <w:t>ראו:</w:t>
      </w:r>
    </w:p>
    <w:p w:rsidR="00DF44B4" w:rsidP="00DF44B4" w:rsidRDefault="00DF44B4">
      <w:pPr>
        <w:spacing w:line="360" w:lineRule="auto"/>
        <w:ind w:left="360"/>
        <w:jc w:val="both"/>
        <w:rPr>
          <w:rFonts w:ascii="David" w:hAnsi="David"/>
          <w:sz w:val="28"/>
          <w:szCs w:val="28"/>
        </w:rPr>
      </w:pPr>
      <w:r>
        <w:rPr>
          <w:rFonts w:ascii="David" w:hAnsi="David"/>
          <w:sz w:val="28"/>
          <w:szCs w:val="28"/>
          <w:rtl/>
        </w:rPr>
        <w:t xml:space="preserve">ב"ל (חי) 11360-11-08 </w:t>
      </w:r>
      <w:r>
        <w:rPr>
          <w:rFonts w:ascii="David" w:hAnsi="David"/>
          <w:b/>
          <w:bCs/>
          <w:sz w:val="28"/>
          <w:szCs w:val="28"/>
          <w:rtl/>
        </w:rPr>
        <w:t>זיקאס ז"ל – המוסד לביטוח לאומי</w:t>
      </w:r>
      <w:r>
        <w:rPr>
          <w:rFonts w:ascii="David" w:hAnsi="David"/>
          <w:sz w:val="28"/>
          <w:szCs w:val="28"/>
          <w:rtl/>
        </w:rPr>
        <w:t xml:space="preserve"> (30.3.2016);</w:t>
      </w:r>
    </w:p>
    <w:p w:rsidR="00DF44B4" w:rsidP="00DF44B4" w:rsidRDefault="00DF44B4">
      <w:pPr>
        <w:spacing w:line="360" w:lineRule="auto"/>
        <w:ind w:left="360"/>
        <w:jc w:val="both"/>
        <w:rPr>
          <w:rFonts w:ascii="David" w:hAnsi="David"/>
          <w:sz w:val="28"/>
          <w:szCs w:val="28"/>
          <w:rtl/>
        </w:rPr>
      </w:pPr>
      <w:r>
        <w:rPr>
          <w:rFonts w:ascii="David" w:hAnsi="David"/>
          <w:sz w:val="28"/>
          <w:szCs w:val="28"/>
          <w:rtl/>
        </w:rPr>
        <w:t xml:space="preserve">ב"ל (חי) 22942-02-13 </w:t>
      </w:r>
      <w:r>
        <w:rPr>
          <w:rFonts w:ascii="David" w:hAnsi="David"/>
          <w:b/>
          <w:bCs/>
          <w:sz w:val="28"/>
          <w:szCs w:val="28"/>
          <w:rtl/>
        </w:rPr>
        <w:t>כהן – המוסד לביטוח לאומי</w:t>
      </w:r>
      <w:r>
        <w:rPr>
          <w:rFonts w:ascii="David" w:hAnsi="David"/>
          <w:sz w:val="28"/>
          <w:szCs w:val="28"/>
          <w:rtl/>
        </w:rPr>
        <w:t xml:space="preserve"> (8.3.2016);</w:t>
      </w:r>
    </w:p>
    <w:p w:rsidR="00DF44B4" w:rsidP="00DF44B4" w:rsidRDefault="00DF44B4">
      <w:pPr>
        <w:spacing w:line="360" w:lineRule="auto"/>
        <w:ind w:left="360"/>
        <w:jc w:val="both"/>
        <w:rPr>
          <w:rFonts w:ascii="David" w:hAnsi="David"/>
          <w:sz w:val="28"/>
          <w:szCs w:val="28"/>
        </w:rPr>
      </w:pPr>
      <w:r>
        <w:rPr>
          <w:rFonts w:ascii="David" w:hAnsi="David"/>
          <w:sz w:val="28"/>
          <w:szCs w:val="28"/>
          <w:rtl/>
        </w:rPr>
        <w:t xml:space="preserve">ב"ל (ת"א) 16652-12-14 </w:t>
      </w:r>
      <w:r>
        <w:rPr>
          <w:rFonts w:ascii="David" w:hAnsi="David"/>
          <w:b/>
          <w:bCs/>
          <w:sz w:val="28"/>
          <w:szCs w:val="28"/>
          <w:rtl/>
        </w:rPr>
        <w:t>צבי מצקביץ – המוסד לביטוח לאומי</w:t>
      </w:r>
      <w:r>
        <w:rPr>
          <w:rFonts w:ascii="David" w:hAnsi="David"/>
          <w:sz w:val="28"/>
          <w:szCs w:val="28"/>
          <w:rtl/>
        </w:rPr>
        <w:t xml:space="preserve"> (10.1.2017).</w:t>
      </w:r>
    </w:p>
    <w:p w:rsidR="00DF44B4" w:rsidP="00DF44B4" w:rsidRDefault="00DF44B4">
      <w:pPr>
        <w:numPr>
          <w:ilvl w:val="0"/>
          <w:numId w:val="1"/>
        </w:numPr>
        <w:spacing w:line="360" w:lineRule="auto"/>
        <w:jc w:val="both"/>
        <w:rPr>
          <w:rFonts w:ascii="David" w:hAnsi="David"/>
          <w:sz w:val="28"/>
          <w:szCs w:val="28"/>
          <w:rtl/>
        </w:rPr>
      </w:pPr>
      <w:r>
        <w:rPr>
          <w:rFonts w:ascii="David" w:hAnsi="David"/>
          <w:sz w:val="28"/>
          <w:szCs w:val="28"/>
          <w:rtl/>
        </w:rPr>
        <w:t xml:space="preserve">נוכח התנהלות המוסד במשך שנים רבות על פי הפרשנות שנקבעה בפסק הדין בבג"ץ </w:t>
      </w:r>
      <w:r>
        <w:rPr>
          <w:rFonts w:ascii="David" w:hAnsi="David"/>
          <w:b/>
          <w:bCs/>
          <w:sz w:val="28"/>
          <w:szCs w:val="28"/>
          <w:rtl/>
        </w:rPr>
        <w:t>עומרי</w:t>
      </w:r>
      <w:r>
        <w:rPr>
          <w:rFonts w:ascii="David" w:hAnsi="David"/>
          <w:sz w:val="28"/>
          <w:szCs w:val="28"/>
          <w:rtl/>
        </w:rPr>
        <w:t xml:space="preserve">,  בהסכמת המוסד, לא שוכנענו כי יש מקום לקבוע כי החל ממועד מסוים רשאי המוסד לקבוע כי נהיגה עצמית של המבוטח ברכב שוללת זכאות לקצבה מיוחדת. </w:t>
      </w:r>
    </w:p>
    <w:p w:rsidR="00DF44B4" w:rsidP="00DF44B4" w:rsidRDefault="00DF44B4">
      <w:pPr>
        <w:spacing w:line="360" w:lineRule="auto"/>
        <w:ind w:left="360"/>
        <w:jc w:val="both"/>
        <w:rPr>
          <w:rFonts w:ascii="David" w:hAnsi="David"/>
          <w:sz w:val="28"/>
          <w:szCs w:val="28"/>
        </w:rPr>
      </w:pPr>
      <w:r>
        <w:rPr>
          <w:rFonts w:ascii="David" w:hAnsi="David"/>
          <w:sz w:val="28"/>
          <w:szCs w:val="28"/>
          <w:rtl/>
        </w:rPr>
        <w:t xml:space="preserve">אכן, המוסד העלה טענות בעלות משקל לעניין פרשנות תקנה 10, ובכלל זאת העובדה כי מההקשר הכולל של תקנה 10 עולה כי היא נועדה לסייע למבוטח שתלוי באחרים לביצוע פעולות היום יום, השגחה או ניידות; השימוש במילה "הסעות" ולא "נסיעות" המצביע על כך שמדובר בנפגע עבודה שנזקק להסעה שלא בתחבורה ציבורית על ידי אחר; חוסר הלימה בין שיעור הקצבה המיוחדת לבין הוצאות החזקת רכב, ושיעור קצבת החזקת רכב או קצבת ניידות. יחד עם זאת, לטעמנו, לא ניתן לומר כי הפרשנות שהציג המוסד היא הפרשנות האפשרית היחידה. </w:t>
      </w:r>
    </w:p>
    <w:p w:rsidR="00DF44B4" w:rsidP="00DF44B4" w:rsidRDefault="00DF44B4">
      <w:pPr>
        <w:spacing w:line="360" w:lineRule="auto"/>
        <w:ind w:left="360"/>
        <w:jc w:val="both"/>
        <w:rPr>
          <w:rFonts w:ascii="David" w:hAnsi="David"/>
          <w:sz w:val="28"/>
          <w:szCs w:val="28"/>
        </w:rPr>
      </w:pPr>
      <w:r>
        <w:rPr>
          <w:rFonts w:ascii="David" w:hAnsi="David"/>
          <w:b/>
          <w:bCs/>
          <w:sz w:val="28"/>
          <w:szCs w:val="28"/>
          <w:rtl/>
        </w:rPr>
        <w:t>ראשית</w:t>
      </w:r>
      <w:r>
        <w:rPr>
          <w:rFonts w:ascii="David" w:hAnsi="David"/>
          <w:sz w:val="28"/>
          <w:szCs w:val="28"/>
          <w:rtl/>
        </w:rPr>
        <w:t xml:space="preserve">, פרשנות המוסד מביאה לתוצאה שכמעט ואין משמעות לחלופת תחבורה ציבורית, שכן ברוב המכריע של המקרים מי שנזקק להסעה על ידי אחרים מתקיימת בו גם הרישא לתקנה, היזקקות לעזרת הזולת בפעולות היום יום. לא בכדי העידה גב' כרמל סטינגר כי מספר המקרים שבהם מוגשת תביעה לקצבה מיוחדת על בסיס חלופת תחבורה ציבורית בלבד הוא מועט ביותר. </w:t>
      </w:r>
    </w:p>
    <w:p w:rsidR="00DF44B4" w:rsidP="00DF44B4" w:rsidRDefault="00DF44B4">
      <w:pPr>
        <w:spacing w:line="360" w:lineRule="auto"/>
        <w:ind w:left="360"/>
        <w:jc w:val="both"/>
        <w:rPr>
          <w:rFonts w:ascii="David" w:hAnsi="David"/>
          <w:sz w:val="28"/>
          <w:szCs w:val="28"/>
          <w:rtl/>
        </w:rPr>
      </w:pPr>
      <w:r>
        <w:rPr>
          <w:rFonts w:ascii="David" w:hAnsi="David"/>
          <w:b/>
          <w:bCs/>
          <w:sz w:val="28"/>
          <w:szCs w:val="28"/>
          <w:rtl/>
        </w:rPr>
        <w:t>שנית,</w:t>
      </w:r>
      <w:r>
        <w:rPr>
          <w:rFonts w:ascii="David" w:hAnsi="David"/>
          <w:sz w:val="28"/>
          <w:szCs w:val="28"/>
          <w:rtl/>
        </w:rPr>
        <w:t xml:space="preserve"> פרשנות המוסד תותיר ללא מענה נפגעי עבודה שלהם נכות קשה, (ובהקשר זה יש לזכור כי תנאי סף לקבלת קצבה מיוחדת הוא ככלל דרגת נכות בשיעור של 75% ובמקרים מסוימים 65%), ונכותם מונעת מהם להשתמש בתחבורה ציבורית, אך הם אינם סיעודיים ואינם זכאים לגמלת ניידות או זכאים לגמלת ניידות בסכום נמוך, כגון – נכי עבודה הסובלים מבעיות נפשיות, כשל המערכת החיסונית, קשיי נשימה ועוד. עוד יש לציין, כי לעתים על מנת שנכה עבודה יוכל לנהוג ברכב נדרשת התאמה של הרכב הכרוכה בעלויות לא מבוטלות. בהקשר זה יש לציין כי על פי תקנה 2(ג) לתקנות קצבה מיוחדת, מענק מיוחד לסיוע בפתרון בעיית ניידות ניתן רק לנכה עבודה שנקבעה לו מוגבלות בניידות על פי הסכם הניידות. מכאן, כי אין לנכים אלה מענה גם לסיוע הנדרש לרכישת רכב מותאם. </w:t>
      </w:r>
    </w:p>
    <w:p w:rsidR="00DF44B4" w:rsidP="00DF44B4" w:rsidRDefault="00DF44B4">
      <w:pPr>
        <w:spacing w:line="360" w:lineRule="auto"/>
        <w:ind w:left="360"/>
        <w:jc w:val="both"/>
        <w:rPr>
          <w:rFonts w:ascii="David" w:hAnsi="David"/>
          <w:sz w:val="28"/>
          <w:szCs w:val="28"/>
          <w:rtl/>
        </w:rPr>
      </w:pPr>
      <w:r>
        <w:rPr>
          <w:rFonts w:ascii="David" w:hAnsi="David"/>
          <w:b/>
          <w:bCs/>
          <w:sz w:val="28"/>
          <w:szCs w:val="28"/>
          <w:rtl/>
        </w:rPr>
        <w:t xml:space="preserve">שלישית, </w:t>
      </w:r>
      <w:r>
        <w:rPr>
          <w:rFonts w:ascii="David" w:hAnsi="David"/>
          <w:sz w:val="28"/>
          <w:szCs w:val="28"/>
          <w:rtl/>
        </w:rPr>
        <w:t>גם תקנה 10ג לתקנות קצבה מיוחדת הקובעת כי "</w:t>
      </w:r>
      <w:r>
        <w:rPr>
          <w:rFonts w:ascii="David" w:hAnsi="David"/>
          <w:b/>
          <w:bCs/>
          <w:sz w:val="28"/>
          <w:szCs w:val="28"/>
          <w:rtl/>
        </w:rPr>
        <w:t>נכה שאינו מקבל קיצבת ניידות או קיצבה מיוחדת להחזקת רכב תוגדל לו הקיצבה המיוחדת להחזקה אישית שנקבעה בתקנות 10(א), (ב), ו- (ג), לפי העניין, ב- 10% מהקיצבה המיוחדת המקסימלית"</w:t>
      </w:r>
      <w:r>
        <w:rPr>
          <w:rFonts w:ascii="David" w:hAnsi="David"/>
          <w:sz w:val="28"/>
          <w:szCs w:val="28"/>
          <w:rtl/>
        </w:rPr>
        <w:t xml:space="preserve"> אינה נותנת מענה לנכים קשים אלה, שכן מדובר בנכי עבודה </w:t>
      </w:r>
      <w:r>
        <w:rPr>
          <w:rFonts w:ascii="David" w:hAnsi="David"/>
          <w:b/>
          <w:bCs/>
          <w:sz w:val="28"/>
          <w:szCs w:val="28"/>
          <w:rtl/>
        </w:rPr>
        <w:t>שאינם זכאים</w:t>
      </w:r>
      <w:r>
        <w:rPr>
          <w:rFonts w:ascii="David" w:hAnsi="David"/>
          <w:sz w:val="28"/>
          <w:szCs w:val="28"/>
          <w:rtl/>
        </w:rPr>
        <w:t xml:space="preserve"> לקיצבה מיוחדת על פי מבחני התלות וההשגחה. </w:t>
      </w:r>
    </w:p>
    <w:p w:rsidR="00DF44B4" w:rsidP="00DF44B4" w:rsidRDefault="00DF44B4">
      <w:pPr>
        <w:spacing w:line="360" w:lineRule="auto"/>
        <w:ind w:left="360"/>
        <w:jc w:val="both"/>
        <w:rPr>
          <w:rFonts w:ascii="David" w:hAnsi="David"/>
          <w:sz w:val="28"/>
          <w:szCs w:val="28"/>
          <w:rtl/>
        </w:rPr>
      </w:pPr>
      <w:r>
        <w:rPr>
          <w:rFonts w:ascii="David" w:hAnsi="David"/>
          <w:b/>
          <w:bCs/>
          <w:sz w:val="28"/>
          <w:szCs w:val="28"/>
          <w:rtl/>
        </w:rPr>
        <w:t>רביעית,</w:t>
      </w:r>
      <w:r>
        <w:rPr>
          <w:rFonts w:ascii="David" w:hAnsi="David"/>
          <w:sz w:val="28"/>
          <w:szCs w:val="28"/>
          <w:rtl/>
        </w:rPr>
        <w:t xml:space="preserve"> האופן בו נהג המוסד במשך למעלה מ - 20 שנים מלמד כי ראה בפרשנות תקנה 10 בכל הקשור למונח הסעה ככולל גם נסיעה עצמית, כפרשנות לגיטימית, סבירה, ושנותנת מענה הולם לצרכיו של מי שנפגע בעבודה אך מתקשה לנסוע בתחבורה הציבורית. </w:t>
      </w:r>
    </w:p>
    <w:p w:rsidR="00DF44B4" w:rsidP="00DF44B4" w:rsidRDefault="00DF44B4">
      <w:pPr>
        <w:numPr>
          <w:ilvl w:val="0"/>
          <w:numId w:val="1"/>
        </w:numPr>
        <w:spacing w:line="360" w:lineRule="auto"/>
        <w:jc w:val="both"/>
        <w:rPr>
          <w:rFonts w:ascii="David" w:hAnsi="David"/>
          <w:sz w:val="28"/>
          <w:szCs w:val="28"/>
          <w:rtl/>
        </w:rPr>
      </w:pPr>
      <w:r>
        <w:rPr>
          <w:rFonts w:ascii="David" w:hAnsi="David"/>
          <w:sz w:val="28"/>
          <w:szCs w:val="28"/>
          <w:rtl/>
        </w:rPr>
        <w:t xml:space="preserve">לטעמנו, העובדה שיש פנים לכאן ולכאן בכל הנוגע לפרשנות התקנה, מהווה נימוק נוסף לכך שעל המוסד להמשיך לפעול בהתאם לפסיקה בבג"ץ </w:t>
      </w:r>
      <w:r>
        <w:rPr>
          <w:rFonts w:ascii="David" w:hAnsi="David"/>
          <w:b/>
          <w:bCs/>
          <w:sz w:val="28"/>
          <w:szCs w:val="28"/>
          <w:rtl/>
        </w:rPr>
        <w:t xml:space="preserve">עומרי </w:t>
      </w:r>
      <w:r>
        <w:rPr>
          <w:rFonts w:ascii="David" w:hAnsi="David"/>
          <w:sz w:val="28"/>
          <w:szCs w:val="28"/>
          <w:rtl/>
        </w:rPr>
        <w:t xml:space="preserve">ובהתאם לדרך בה פעל במשך שנים רבות. נוסיף, כי ככל שלגישת המוסד אין מקום לתשלום קצבה מיוחדת לנכה עבודה שנוהג בעצמו, או שינוי העתים והשיפור שחל בתחבורה הציבורית מצדיקים שינוי הפרשנות, או סכום הקצבה המיוחדת אינו עומד בהלימה לסיוע הכספי הנדרש למי שמנוע מלהשתמש בתחבורה ציבורית אך נוהג בעצמו - המוסד גם יכול ליזום שינוי התקנות. יודגש, כי ההסדר אינו חייב להיות בינארי, וקשת האפשרויות רחבה יותר. כך למשל, ניתן ליצור קטיגורית ביניים למי שאינו יכול להשתמש בתחבורה ציבורית אך יכול לנהוג בעצמו ברכבו. </w:t>
      </w:r>
    </w:p>
    <w:p w:rsidR="00DF44B4" w:rsidP="00DF44B4" w:rsidRDefault="00DF44B4">
      <w:pPr>
        <w:numPr>
          <w:ilvl w:val="0"/>
          <w:numId w:val="1"/>
        </w:numPr>
        <w:spacing w:line="360" w:lineRule="auto"/>
        <w:jc w:val="both"/>
        <w:rPr>
          <w:rFonts w:ascii="David" w:hAnsi="David"/>
          <w:sz w:val="28"/>
          <w:szCs w:val="28"/>
        </w:rPr>
      </w:pPr>
      <w:r>
        <w:rPr>
          <w:rFonts w:ascii="David" w:hAnsi="David"/>
          <w:b/>
          <w:bCs/>
          <w:sz w:val="28"/>
          <w:szCs w:val="28"/>
          <w:rtl/>
        </w:rPr>
        <w:t>כללו של דבר</w:t>
      </w:r>
      <w:r>
        <w:rPr>
          <w:rFonts w:ascii="David" w:hAnsi="David"/>
          <w:sz w:val="28"/>
          <w:szCs w:val="28"/>
          <w:rtl/>
        </w:rPr>
        <w:t xml:space="preserve">: בכל הנוגע לפרשנות תקנה 10, אנו מקבלים את הערעור ודוחים את הטענה שלפיה נכה עבודה שאינו יכול להשתמש בתחבורה ציבורית אך נוהג בעצמו ברכבו אינו זכאי רק בשל כך לקצבה מיוחדת.  </w:t>
      </w:r>
    </w:p>
    <w:p w:rsidR="00DF44B4" w:rsidP="00DF44B4" w:rsidRDefault="00DF44B4">
      <w:pPr>
        <w:numPr>
          <w:ilvl w:val="0"/>
          <w:numId w:val="1"/>
        </w:numPr>
        <w:spacing w:line="360" w:lineRule="auto"/>
        <w:jc w:val="both"/>
        <w:rPr>
          <w:rFonts w:ascii="David" w:hAnsi="David"/>
          <w:sz w:val="28"/>
          <w:szCs w:val="28"/>
        </w:rPr>
      </w:pPr>
      <w:r>
        <w:rPr>
          <w:rFonts w:ascii="David" w:hAnsi="David"/>
          <w:sz w:val="28"/>
          <w:szCs w:val="28"/>
          <w:rtl/>
        </w:rPr>
        <w:t xml:space="preserve">להלן, נדון בעניינם הפרטני של המערערים. </w:t>
      </w:r>
    </w:p>
    <w:p w:rsidR="00DF44B4" w:rsidP="00DF44B4" w:rsidRDefault="00DF44B4">
      <w:pPr>
        <w:spacing w:line="360" w:lineRule="auto"/>
        <w:ind w:left="360"/>
        <w:contextualSpacing/>
        <w:jc w:val="both"/>
        <w:rPr>
          <w:rFonts w:ascii="David" w:hAnsi="David"/>
          <w:b/>
          <w:bCs/>
          <w:sz w:val="28"/>
          <w:szCs w:val="28"/>
          <w:rtl/>
        </w:rPr>
      </w:pPr>
    </w:p>
    <w:p w:rsidR="00DF44B4" w:rsidP="00DF44B4" w:rsidRDefault="00DF44B4">
      <w:pPr>
        <w:spacing w:line="360" w:lineRule="auto"/>
        <w:ind w:left="360"/>
        <w:contextualSpacing/>
        <w:jc w:val="both"/>
        <w:rPr>
          <w:rFonts w:ascii="David" w:hAnsi="David"/>
          <w:b/>
          <w:bCs/>
          <w:sz w:val="28"/>
          <w:szCs w:val="28"/>
        </w:rPr>
      </w:pPr>
      <w:r>
        <w:rPr>
          <w:rFonts w:ascii="David" w:hAnsi="David"/>
          <w:b/>
          <w:bCs/>
          <w:sz w:val="28"/>
          <w:szCs w:val="28"/>
          <w:u w:val="single"/>
          <w:rtl/>
        </w:rPr>
        <w:t>עניינו של מר ביטון</w:t>
      </w:r>
    </w:p>
    <w:p w:rsidR="00DF44B4" w:rsidP="00DF44B4" w:rsidRDefault="00DF44B4">
      <w:pPr>
        <w:numPr>
          <w:ilvl w:val="0"/>
          <w:numId w:val="1"/>
        </w:numPr>
        <w:spacing w:line="360" w:lineRule="auto"/>
        <w:contextualSpacing/>
        <w:jc w:val="both"/>
        <w:rPr>
          <w:rFonts w:ascii="David" w:hAnsi="David"/>
          <w:sz w:val="28"/>
          <w:szCs w:val="28"/>
          <w:rtl/>
        </w:rPr>
      </w:pPr>
      <w:r>
        <w:rPr>
          <w:rFonts w:ascii="David" w:hAnsi="David"/>
          <w:sz w:val="28"/>
          <w:szCs w:val="28"/>
          <w:rtl/>
        </w:rPr>
        <w:t xml:space="preserve">לטענת מר ביטון, נוכח הפגיעה הנפשית כתוצאה מהפגיעה בעבודה הוא אינו יכול להשתמש בתחבורה ציבורית. טענתו זו תמך מר ביטון בחוות דעת של פסיכיאטר – ד"ר ומוש. כפי העולה מתעודת עובד ציבור שהוגשה על ידי גב' שרי מסטר, עובדת שיקום בסניף טבריה, עניינו נדון על ידי מספר רופאים של המוסד. ד"ר בר צבי, מומחית ברפואה פסיכיאטרית בסניף טבריה קבעה (לטענת המוסד בהסתמך על חוות דעת של ד"ר ומוש מטעם מר ביטון) כי אינו מסוגל להשתמש בתחבורה ציבורית והוא זכאי לקצבה מיוחדת. מנגד, הרופאים המוסמכים בסניף (ד"ר פיזרו וד"ר שטרן) קבעו כי מר ביטון אינו זכאי לקצבה מיוחדת בחלופת תחבורה ציבורית. נוכח האמור, הופנה עניינו של מר ביטון לפרופ' ריצ'נר, יועץ פסיכיאטרי מחוז צפון, והוא קבע שיש לדחות את תביעתו של מר ביטון. נציין, כי הן ד"ר בר צבי והן פרופ' ריצ'נר לא בדקו את מר ביטון. </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sz w:val="28"/>
          <w:szCs w:val="28"/>
          <w:rtl/>
        </w:rPr>
        <w:t>לפני בית הדין האזורי העידו פרופ' ריצ'נר ופקידת השיקום שטיפלה בעניינו של מר ביטון, גב' שרית מסטר.</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sz w:val="28"/>
          <w:szCs w:val="28"/>
          <w:rtl/>
        </w:rPr>
        <w:t xml:space="preserve">בית הדין האזורי קבע כי לא ניתן להסתמך על חוות דעתו של ד"ר ומוש, בהיותה חוות דעת פרטית שהוכנה לצורך ההליך, והיא מבוססת על עובדות לא מדויקות; טענת מר ביטון בדבר הפחדים מתחבורה ציבורית שהחלו לאחר תאונת העבודה מיום 28.6.2012 הועלתה לראשונה בחוות דעתו של ד"ר ומוש מיום 10.7.2016, ארבע שנים לאחר התאונה, ושבועיים לפני הגשת התביעה לקצבה מיוחדת. לעומת זאת, הטענה לא הועלתה בהזדמנויות קודמות, לרבות טיעונים שהוגשו למוסד בעניין מצבו הנפשי, דיון בוועדה רפואית ועוד; גם העובדה שמר ביטון טס בשנת 2018 ארבע פעמים ללוס אנג'לס טיסה של 14 שעות לכל כיוון אינה מתיישבת עם טענות מר ביטון, והסבריו בנוגע לאבחנה בין מטוס לבין אוטובוס לא היו משכנעים. על יסוד האמור, קבע בית הדין האזורי כי מר ביטון לא הוכיח ולו תשתית עובדתית לכאורית של העדר יכולת להשתמש בתחבורה ציבורית. </w:t>
      </w:r>
    </w:p>
    <w:p w:rsidR="00DF44B4" w:rsidP="00DF44B4" w:rsidRDefault="00DF44B4">
      <w:pPr>
        <w:spacing w:line="360" w:lineRule="auto"/>
        <w:ind w:left="360"/>
        <w:contextualSpacing/>
        <w:jc w:val="both"/>
        <w:rPr>
          <w:rFonts w:ascii="David" w:hAnsi="David"/>
          <w:sz w:val="28"/>
          <w:szCs w:val="28"/>
        </w:rPr>
      </w:pPr>
      <w:r>
        <w:rPr>
          <w:rFonts w:ascii="David" w:hAnsi="David"/>
          <w:sz w:val="28"/>
          <w:szCs w:val="28"/>
          <w:rtl/>
        </w:rPr>
        <w:t xml:space="preserve">בכל הנוגע להתנהלות המוסד בעניין תביעתו של מר ביטון קבע בית הדין האזורי כי לא נפל בה פגם, ובכלל זאת לא נפל פגם בהסתמכות על חוות דעתו של פרופ' ריצ'נר אשר קבע בחוות דעתו כי מר ביטון מסוגל להשתמש בתחבורה ציבורית. בית הדין האזורי קבע כי עדותו של פרופ' ריצ'נר הייתה מהימנה, קוהרנטית, מפורטת ואחידה ועל כן יש לקבלה במלואה. כאמור, פרופ' ריצ'נר לא בדק את מר ביטון, והעיד כי לא נדרש לבדוק את מר ביטון, כי עמד לפניו מלוא החומר הנדרש ולא הייתה בחומר אבחנה פסיכיאטרית המצדיקה את קבלת התביעה. בית הדין האזורי קבע שאין בכך פגם, וכי בעבר הלא רחוק לא הייתה כל הנחיה המחייבת מומחים בתחום הפסיכיאטריה לערוך למבוטח בדיקה קלינית. עדותה של פקידת השיקום הייתה מהימנה, ובכל מקרה על פי עדותה הגורם המחליט הוא רופא המוסד, על סמך מצבו של הנפגע. </w:t>
      </w:r>
    </w:p>
    <w:p w:rsidR="00DF44B4" w:rsidP="00DF44B4" w:rsidRDefault="00DF44B4">
      <w:pPr>
        <w:spacing w:line="360" w:lineRule="auto"/>
        <w:ind w:left="360"/>
        <w:contextualSpacing/>
        <w:jc w:val="both"/>
        <w:rPr>
          <w:rFonts w:ascii="David" w:hAnsi="David"/>
          <w:sz w:val="28"/>
          <w:szCs w:val="28"/>
        </w:rPr>
      </w:pPr>
      <w:r>
        <w:rPr>
          <w:rFonts w:ascii="David" w:hAnsi="David"/>
          <w:sz w:val="28"/>
          <w:szCs w:val="28"/>
          <w:rtl/>
        </w:rPr>
        <w:t xml:space="preserve">עם זאת, בית הדין האזורי העיר כי </w:t>
      </w:r>
      <w:r>
        <w:rPr>
          <w:rFonts w:ascii="David" w:hAnsi="David"/>
          <w:b/>
          <w:bCs/>
          <w:sz w:val="28"/>
          <w:szCs w:val="28"/>
          <w:rtl/>
        </w:rPr>
        <w:t>"טוב יהיה ככל שהנתבע יפעל על מנת לקבוע כללים ברורים בכל הקשור להסעה מיוחדת"</w:t>
      </w:r>
    </w:p>
    <w:p w:rsidR="00DF44B4" w:rsidP="00DF44B4" w:rsidRDefault="00DF44B4">
      <w:pPr>
        <w:spacing w:line="360" w:lineRule="auto"/>
        <w:ind w:left="360"/>
        <w:contextualSpacing/>
        <w:jc w:val="both"/>
        <w:rPr>
          <w:rFonts w:ascii="David" w:hAnsi="David"/>
          <w:sz w:val="28"/>
          <w:szCs w:val="28"/>
          <w:rtl/>
        </w:rPr>
      </w:pPr>
      <w:r>
        <w:rPr>
          <w:rFonts w:ascii="David" w:hAnsi="David"/>
          <w:sz w:val="28"/>
          <w:szCs w:val="28"/>
          <w:rtl/>
        </w:rPr>
        <w:t xml:space="preserve">על יסוד האמור, דחה בית הדין האזורי את התביעה. </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b/>
          <w:bCs/>
          <w:sz w:val="28"/>
          <w:szCs w:val="28"/>
          <w:rtl/>
        </w:rPr>
        <w:t>בערעורו טען מר ביטון</w:t>
      </w:r>
      <w:r>
        <w:rPr>
          <w:rFonts w:ascii="David" w:hAnsi="David"/>
          <w:sz w:val="28"/>
          <w:szCs w:val="28"/>
          <w:rtl/>
        </w:rPr>
        <w:t xml:space="preserve"> טען כי תביעתו נדחתה מראש, ללא שימוע; פרופ' ריצ'נר שקבע העדר זכאות לא נועץ ברופא המשפחה, התעלם מהפרוטוקולים והחלטות של הוועדות הרפואיות, לא עיין ולא התייחס למלוא התיק הרפואי שבו יש אבחנות רפואיות רלוונטיות של פגיעה בתחום הנפשי, וקבע אבחנה בתחום הנפשי ללא שפגש במר ביטון מעולם; לפרופ' ריצ'נר הוצג מצג לפיו מי שנוהג אינו זכאי לקצבה, והוא סבר כי הקצבה עניינה ליווי במהלך נסיעה באוטובוס; ועדה רפואית בעניינו של מר ביטון הכפילה את דרגת הנכות הנפשית לאחר הגשת התביעה לקצבה מיוחדת; לכל הפחות, על בית הדין היה למנות מומחה רפואי בתחום הנפשי לצורך הכרעה בשאלת יכולתו של מר ביטון להתנייד בתחבורה ציבורית. כמו כן, המוסד לא בחן את סידורי התחבורה הציבורית הנוגעים למר ביטון – מיקום התחנות, תדירות התחבורה הציבורית מביתו ואל ביתו של מר ביטון. </w:t>
      </w:r>
    </w:p>
    <w:p w:rsidR="00DF44B4" w:rsidP="00DF44B4" w:rsidRDefault="00DF44B4">
      <w:pPr>
        <w:spacing w:line="360" w:lineRule="auto"/>
        <w:ind w:left="360"/>
        <w:contextualSpacing/>
        <w:jc w:val="both"/>
        <w:rPr>
          <w:rFonts w:ascii="David" w:hAnsi="David"/>
          <w:sz w:val="28"/>
          <w:szCs w:val="28"/>
        </w:rPr>
      </w:pPr>
      <w:r>
        <w:rPr>
          <w:rFonts w:ascii="David" w:hAnsi="David"/>
          <w:sz w:val="28"/>
          <w:szCs w:val="28"/>
          <w:rtl/>
        </w:rPr>
        <w:t xml:space="preserve">אשר לקביעותיו של בית הדין האזורי נטען כי לא היה מקום להטיל ספק במהימנות מר ביטון לעניין יכולתו להשתמש בתחבורה ציבורית; גם העובדה כי נסע לחו"ל אינה שוללת את הזכאות לקצבה מיוחדת, ומדובר בפעולה נדירה שאין להשוותה לנסיעות יום יומיות לעבודה, לטיפולים רפואיים ולסידורים שונים. </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b/>
          <w:bCs/>
          <w:sz w:val="28"/>
          <w:szCs w:val="28"/>
          <w:rtl/>
        </w:rPr>
        <w:t>המוסד טען</w:t>
      </w:r>
      <w:r>
        <w:rPr>
          <w:rFonts w:ascii="David" w:hAnsi="David"/>
          <w:sz w:val="28"/>
          <w:szCs w:val="28"/>
          <w:rtl/>
        </w:rPr>
        <w:t xml:space="preserve"> כי מר ביטון אינו מנוע בשל נכותו מלהסתייע בתחבורה ציבורית בקביעות; מר ביטון ביסס את טענותיו על חוות דעת פרטית, שנערכה על יסוד דברי מר ביטון עצמו, ולא על יסוד תיעוד רפואי מהעבר, וזאת כשבועיים לפני הגשת התביעה לקצבה מיוחדת, ואין לתת לה משקל. בהקשר זה ציין המוסד כי בעבר עת פנה לטיפול בתחום הנפשי לא הועלתה הטענה של פחד מנסיעה בתחבורה ציבורית; מלבד חוות הדעת של ד"ר ומוש לא הובאו כל ראייה ו/או ביסוס ו/או אסמכתא רפואית לטענת מר ביטון כי הוא אינו מסוגל להשתמש בתחבורה ציבורית; מנגד, עומדות חוות הדעת מטעם המוסד של פרופ' ריצ'נר והערכת עובדת השיקום גב' שרית מסטר, אשר נחקרו בבית הדין האזורי; בית הדין האזורי נימק בפירוט מדוע יש להעדיף את חוות דעתו של פרופ' ריצ'נר, והאמור בחוות דעתו של ד"ר ומוש נסתר בעדותו של מר ביטון; קביעות אלה של בית הדין האזורי הן קביעות עובדתיות ואין מקום להתערבות ערכאת הערעור בקביעות אלה. </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sz w:val="28"/>
          <w:szCs w:val="28"/>
          <w:rtl/>
        </w:rPr>
        <w:t xml:space="preserve">לאחר בחינת טענות הצדדים וכלל חומר התיק אנו קובעים כי דין הערעור להתקבל, כך שעניינו של מר ביטון יוחזר לדיון במוסד לבחינת זכאותו לקצבה מיוחדת בחלופת תחבורה ציבורית. </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sz w:val="28"/>
          <w:szCs w:val="28"/>
          <w:rtl/>
        </w:rPr>
        <w:t xml:space="preserve">נקדים ונאמר כי השאלה האם עקב הפגיעה הנפשית מר ביטון אינו יכול להשתמש בתחבורה ציבורית היא שאלה </w:t>
      </w:r>
      <w:r>
        <w:rPr>
          <w:rFonts w:ascii="David" w:hAnsi="David"/>
          <w:b/>
          <w:bCs/>
          <w:sz w:val="28"/>
          <w:szCs w:val="28"/>
          <w:rtl/>
        </w:rPr>
        <w:t>רפואית,</w:t>
      </w:r>
      <w:r>
        <w:rPr>
          <w:rFonts w:ascii="David" w:hAnsi="David"/>
          <w:sz w:val="28"/>
          <w:szCs w:val="28"/>
          <w:rtl/>
        </w:rPr>
        <w:t xml:space="preserve"> ואינה שאלה עובדתית שבית הדין אמור להכריע בה על יסוד עדויות הצדדים. בחינת שאלה זו היא בסמכותו של רופא המוסד, והחלטתו נתונה לביקורת שיפוטית של בית הדין. על כן, לא היה מקום שבית הדין האזורי יקבע ממצאים בעניין זה על יסוד עדויות הצדדים לפניו. </w:t>
      </w:r>
    </w:p>
    <w:p w:rsidR="00DF44B4" w:rsidP="00DF44B4" w:rsidRDefault="00DF44B4">
      <w:pPr>
        <w:spacing w:line="360" w:lineRule="auto"/>
        <w:ind w:left="360"/>
        <w:contextualSpacing/>
        <w:jc w:val="both"/>
        <w:rPr>
          <w:rFonts w:ascii="David" w:hAnsi="David"/>
          <w:sz w:val="28"/>
          <w:szCs w:val="28"/>
        </w:rPr>
      </w:pPr>
      <w:r>
        <w:rPr>
          <w:rFonts w:ascii="David" w:hAnsi="David"/>
          <w:sz w:val="28"/>
          <w:szCs w:val="28"/>
          <w:rtl/>
        </w:rPr>
        <w:t xml:space="preserve">ככל שנפגע עבודה אינו יכול להשתמש בתחבורה ציבורית עקב הנכות, השאלה אם מדובר "במידה רבה" או "בקביעות" היא שאלה רפואית עובדתית מעורבת, שכן המענה לה תלוי גם במצבו הרפואי של נפגע העבודה (כגון – אם קיימות תנודות במצב הרפואי המונע שימוש בתחבורה ציבורית) וגם באורח חייו, מקום מגוריו ועוד. עניין זה הוא החלטה מקצועית בעיקרה, שאמורה להתקבל במשותף על ידי רופא המוסד ופקיד השיקום הדנים בעניינו של נפגע העבודה וזכאותו לקצבה מיוחדת, וכאמור החלטתם נתונה לביקורת שיפוטית. </w:t>
      </w:r>
    </w:p>
    <w:p w:rsidR="00DF44B4" w:rsidP="00DF44B4" w:rsidRDefault="00DF44B4">
      <w:pPr>
        <w:numPr>
          <w:ilvl w:val="0"/>
          <w:numId w:val="1"/>
        </w:numPr>
        <w:spacing w:line="360" w:lineRule="auto"/>
        <w:contextualSpacing/>
        <w:jc w:val="both"/>
        <w:rPr>
          <w:rFonts w:ascii="David" w:hAnsi="David"/>
          <w:sz w:val="28"/>
          <w:szCs w:val="28"/>
          <w:rtl/>
        </w:rPr>
      </w:pPr>
      <w:r>
        <w:rPr>
          <w:rFonts w:ascii="David" w:hAnsi="David"/>
          <w:sz w:val="28"/>
          <w:szCs w:val="28"/>
          <w:rtl/>
        </w:rPr>
        <w:t xml:space="preserve">עוד יש להוסיף כי בהתאם לפסיקה, לפחות ככל שנפגע עבודה מבקש זאת, יש לאפשר לו זכות טיעון (בכתב או בעל פה) לפני קבלת ההחלטה בעניין זכאותו לקצבה מיוחדת, במסגרתה הוא גם רשאי להמציא מסמכים רפואיים וחוות דעת מטעמו [עב"ל (ארצי) 52088-11-14 </w:t>
      </w:r>
      <w:r>
        <w:rPr>
          <w:rFonts w:ascii="David" w:hAnsi="David"/>
          <w:b/>
          <w:bCs/>
          <w:sz w:val="28"/>
          <w:szCs w:val="28"/>
          <w:rtl/>
        </w:rPr>
        <w:t>פלוני – המוסד לביטוח לאומי</w:t>
      </w:r>
      <w:r>
        <w:rPr>
          <w:rFonts w:ascii="David" w:hAnsi="David"/>
          <w:sz w:val="28"/>
          <w:szCs w:val="28"/>
          <w:rtl/>
        </w:rPr>
        <w:t xml:space="preserve"> (18.11.2015)].</w:t>
      </w:r>
    </w:p>
    <w:p w:rsidR="00DF44B4" w:rsidP="00DF44B4" w:rsidRDefault="00DF44B4">
      <w:pPr>
        <w:numPr>
          <w:ilvl w:val="0"/>
          <w:numId w:val="1"/>
        </w:numPr>
        <w:spacing w:line="360" w:lineRule="auto"/>
        <w:contextualSpacing/>
        <w:jc w:val="both"/>
        <w:rPr>
          <w:rFonts w:ascii="David" w:hAnsi="David"/>
          <w:sz w:val="28"/>
          <w:szCs w:val="28"/>
          <w:rtl/>
        </w:rPr>
      </w:pPr>
      <w:r>
        <w:rPr>
          <w:rFonts w:ascii="David" w:hAnsi="David"/>
          <w:sz w:val="28"/>
          <w:szCs w:val="28"/>
          <w:rtl/>
        </w:rPr>
        <w:t xml:space="preserve">לדעתנו, יש להחזיר את עניינו של מר ביטון לבחינה חוזרת של זכאותו לקצבה מיוחדת בחלופת תחבורה ציבורית מהטעמים הבאים. </w:t>
      </w:r>
      <w:r>
        <w:rPr>
          <w:rFonts w:ascii="David" w:hAnsi="David"/>
          <w:b/>
          <w:bCs/>
          <w:sz w:val="28"/>
          <w:szCs w:val="28"/>
          <w:rtl/>
        </w:rPr>
        <w:t>ראשית</w:t>
      </w:r>
      <w:r>
        <w:rPr>
          <w:rFonts w:ascii="David" w:hAnsi="David"/>
          <w:sz w:val="28"/>
          <w:szCs w:val="28"/>
          <w:rtl/>
        </w:rPr>
        <w:t>, מעדותו של פרופ' ריצ'נר עולה כי לא ברור מה התבקש לבחון, כי לפי עדותו "</w:t>
      </w:r>
      <w:r>
        <w:rPr>
          <w:rFonts w:ascii="David" w:hAnsi="David"/>
          <w:b/>
          <w:bCs/>
          <w:sz w:val="28"/>
          <w:szCs w:val="28"/>
          <w:rtl/>
        </w:rPr>
        <w:t>ראה סתירה לוגיסטית בין בקשה לליווי בתחבורה ציבורית ונהיגה ברכב פרטי"</w:t>
      </w:r>
      <w:r>
        <w:rPr>
          <w:rFonts w:ascii="David" w:hAnsi="David"/>
          <w:sz w:val="28"/>
          <w:szCs w:val="28"/>
          <w:rtl/>
        </w:rPr>
        <w:t xml:space="preserve">, וכן כי </w:t>
      </w:r>
      <w:r>
        <w:rPr>
          <w:rFonts w:ascii="David" w:hAnsi="David"/>
          <w:b/>
          <w:bCs/>
          <w:sz w:val="28"/>
          <w:szCs w:val="28"/>
          <w:rtl/>
        </w:rPr>
        <w:t xml:space="preserve">"התפלאתי שבן אדם פונה וגם נוהג ברכב" </w:t>
      </w:r>
      <w:r>
        <w:rPr>
          <w:rFonts w:ascii="David" w:hAnsi="David"/>
          <w:sz w:val="28"/>
          <w:szCs w:val="28"/>
          <w:rtl/>
        </w:rPr>
        <w:t>(פרוטוקול 13.2.2019 ע' 28 ש' 15 – 17; ע' 34 ש' 28 - 29)</w:t>
      </w:r>
      <w:r>
        <w:rPr>
          <w:rFonts w:ascii="David" w:hAnsi="David"/>
          <w:b/>
          <w:bCs/>
          <w:sz w:val="28"/>
          <w:szCs w:val="28"/>
          <w:rtl/>
        </w:rPr>
        <w:t>.</w:t>
      </w:r>
      <w:r>
        <w:rPr>
          <w:rFonts w:ascii="David" w:hAnsi="David"/>
          <w:sz w:val="28"/>
          <w:szCs w:val="28"/>
          <w:rtl/>
        </w:rPr>
        <w:t xml:space="preserve"> מכל מקום, נוכח הבהרת המצב המשפטי בהליך זה, יש להבהיר לרופא הפסיכיאטר שידון בעניינו של מר ביטון כי עליו לבחון האם עקב הפגיעה הנפשית הוא אינו יכול להשתמש בתחבורה ציבורית, ואין משמעות לכך שהוא נוהג בעצמו ברכב. </w:t>
      </w:r>
      <w:r>
        <w:rPr>
          <w:rFonts w:ascii="David" w:hAnsi="David"/>
          <w:b/>
          <w:bCs/>
          <w:sz w:val="28"/>
          <w:szCs w:val="28"/>
          <w:rtl/>
        </w:rPr>
        <w:t>שנית</w:t>
      </w:r>
      <w:r>
        <w:rPr>
          <w:rFonts w:ascii="David" w:hAnsi="David"/>
          <w:sz w:val="28"/>
          <w:szCs w:val="28"/>
          <w:rtl/>
        </w:rPr>
        <w:t xml:space="preserve">, משמדובר באבחנה פסיכיאטרית, יש קושי בכך שניתנה חוות דעת ללא שמר ביטון נבדק (הן על ידי ד"ר בר צבי והן על ידי פרופ' ריצ'נר). בהקשר זה נוסיף כי אין להקיש על תקינות ההליך מכך שבהתאם להנחיות הקודמות בדבר מינוי מומחים רפואיים בהליכים בבית הדין לא הוטלה חובה על פסיכיאטר לבדוק את התובע, שכן יש שוני מהותי בין המצבים, דהיינו אם על המומחה לבחון קיומו של קשר סיבתי בין אירוע לבין נכות נפשית כפי שהיא מתועדת במסמכים הרפואיים או אם על המומחה לקבוע אבחון נכות נפשית או בחינת השלכותיה של נכות נפשית, והאחרונים אינם יכולים להיעשות ללא בדיקה. </w:t>
      </w:r>
      <w:r>
        <w:rPr>
          <w:rFonts w:ascii="David" w:hAnsi="David"/>
          <w:b/>
          <w:bCs/>
          <w:sz w:val="28"/>
          <w:szCs w:val="28"/>
          <w:rtl/>
        </w:rPr>
        <w:t>שלישית,</w:t>
      </w:r>
      <w:r>
        <w:rPr>
          <w:rFonts w:ascii="David" w:hAnsi="David"/>
          <w:sz w:val="28"/>
          <w:szCs w:val="28"/>
          <w:rtl/>
        </w:rPr>
        <w:t xml:space="preserve"> כפי שעולה מטיעוני מר ביטון, בינתיים חל שינוי בנסיבות ונקבעה לו דרגת נכות גבוהה יותר בשל הליקוי הנפשי. ככל שייקבע כי למר ביטון נכות נפשית המונעת שימוש בתחבורה ציבורית, יהיה על המוסד לבחון את רמת הזכאות המתאימה – רמה ב' או רמה ג'. </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sz w:val="28"/>
          <w:szCs w:val="28"/>
          <w:rtl/>
        </w:rPr>
        <w:t xml:space="preserve">בנסיבות המקרה, בהתחשב בעובדה שפרופ' ריצ'נר הביע בעדותו עמדה חד משמעית בנוגע למצבו הנפשי של מר ביטון ויכולתו להשתמש בתחבורה ציבורית, ולו לשם מראית פני הצדק, אנו סבורים כי מן הראוי שעניינו של מר ביטון ייבחן על ידי רופא פסיכיאטר </w:t>
      </w:r>
      <w:r>
        <w:rPr>
          <w:rFonts w:ascii="David" w:hAnsi="David"/>
          <w:b/>
          <w:bCs/>
          <w:sz w:val="28"/>
          <w:szCs w:val="28"/>
          <w:rtl/>
        </w:rPr>
        <w:t>אחר</w:t>
      </w:r>
      <w:r>
        <w:rPr>
          <w:rFonts w:ascii="David" w:hAnsi="David"/>
          <w:sz w:val="28"/>
          <w:szCs w:val="28"/>
          <w:rtl/>
        </w:rPr>
        <w:t xml:space="preserve">. לפני הרופא האחר לא יעמדו הקביעות הרפואיות של </w:t>
      </w:r>
      <w:r>
        <w:rPr>
          <w:rFonts w:ascii="David" w:hAnsi="David"/>
          <w:b/>
          <w:bCs/>
          <w:sz w:val="28"/>
          <w:szCs w:val="28"/>
          <w:rtl/>
        </w:rPr>
        <w:t>כל</w:t>
      </w:r>
      <w:r>
        <w:rPr>
          <w:rFonts w:ascii="David" w:hAnsi="David"/>
          <w:sz w:val="28"/>
          <w:szCs w:val="28"/>
          <w:rtl/>
        </w:rPr>
        <w:t xml:space="preserve"> רופאי המוסד שדנו בעניינו של מר ביטון עובר למתן ההחלטה מושא הערעור. אחר קבלת חוות דעתו של הרופא הפסיכיאטר תינתן החלטה חדשה על ידי המוסד, על בסיס הפרשנות לתקנות שהובהרה בהליך זה, דהיינו שנהיגה עצמית אינה שוללת זכאות לקצבה מיוחדת. טרם מתן החלטה בעניינו, יש לאפשר למר ביטון זכות טיעון כאמור בסעיף 48 לעיל.</w:t>
      </w:r>
    </w:p>
    <w:p w:rsidR="00DF44B4" w:rsidP="00DF44B4" w:rsidRDefault="00DF44B4">
      <w:pPr>
        <w:numPr>
          <w:ilvl w:val="0"/>
          <w:numId w:val="1"/>
        </w:numPr>
        <w:spacing w:line="360" w:lineRule="auto"/>
        <w:contextualSpacing/>
        <w:jc w:val="both"/>
        <w:rPr>
          <w:rFonts w:ascii="David" w:hAnsi="David"/>
          <w:sz w:val="28"/>
          <w:szCs w:val="28"/>
        </w:rPr>
      </w:pPr>
      <w:r>
        <w:rPr>
          <w:rFonts w:ascii="David" w:hAnsi="David"/>
          <w:sz w:val="28"/>
          <w:szCs w:val="28"/>
          <w:rtl/>
        </w:rPr>
        <w:t xml:space="preserve">למען הסר ספק נבהיר כי לא בכל מקרה שבו מוגשת תביעה לקצבה מיוחדת, יש לזמן את המבוטח לבדיקה בפני רופא בתחום המומחיות הרלוונטי, וככלל רשאי המוסד לקבל את ההחלטה על יסוד המסמכים בתיק הרפואי. אולם, בנסיבות המקרה הנדון, נוכח סוג הליקוי הנטען ונוכח השתלשלות הטיפול בעניינו של מר ביטון, אנו סבורים כי ההליך הנכון הוא בדיקתו על ידי פסיכיאטר וקבלת החלטה חדשה בעניינו על יסוד חוות דעתו של הפסיכיאטר וכלל חומר התיק. </w:t>
      </w:r>
    </w:p>
    <w:p w:rsidR="00DF44B4" w:rsidP="00DF44B4" w:rsidRDefault="00DF44B4">
      <w:pPr>
        <w:numPr>
          <w:ilvl w:val="0"/>
          <w:numId w:val="1"/>
        </w:numPr>
        <w:spacing w:line="360" w:lineRule="auto"/>
        <w:contextualSpacing/>
        <w:jc w:val="both"/>
        <w:rPr>
          <w:rFonts w:ascii="David" w:hAnsi="David"/>
          <w:b/>
          <w:bCs/>
          <w:sz w:val="28"/>
          <w:szCs w:val="28"/>
          <w:u w:val="single"/>
        </w:rPr>
      </w:pPr>
      <w:r>
        <w:rPr>
          <w:rFonts w:ascii="David" w:hAnsi="David"/>
          <w:b/>
          <w:bCs/>
          <w:sz w:val="28"/>
          <w:szCs w:val="28"/>
          <w:rtl/>
        </w:rPr>
        <w:t>כללו של דבר</w:t>
      </w:r>
      <w:r>
        <w:rPr>
          <w:rFonts w:ascii="David" w:hAnsi="David"/>
          <w:sz w:val="28"/>
          <w:szCs w:val="28"/>
          <w:rtl/>
        </w:rPr>
        <w:t xml:space="preserve">: ערעורו של מר ביטון מתקבל, והמוסד ידון מחדש בתביעתו לתשלום קצבה מיוחדת, כאמור לעיל. </w:t>
      </w:r>
    </w:p>
    <w:p w:rsidR="00DF44B4" w:rsidP="00DF44B4" w:rsidRDefault="00DF44B4">
      <w:pPr>
        <w:spacing w:line="360" w:lineRule="auto"/>
        <w:ind w:left="360"/>
        <w:contextualSpacing/>
        <w:jc w:val="both"/>
        <w:rPr>
          <w:rFonts w:ascii="David" w:hAnsi="David"/>
          <w:b/>
          <w:bCs/>
          <w:sz w:val="28"/>
          <w:szCs w:val="28"/>
          <w:u w:val="single"/>
          <w:rtl/>
        </w:rPr>
      </w:pPr>
    </w:p>
    <w:p w:rsidR="00DF44B4" w:rsidP="00DF44B4" w:rsidRDefault="00DF44B4">
      <w:pPr>
        <w:spacing w:line="360" w:lineRule="auto"/>
        <w:ind w:left="360"/>
        <w:contextualSpacing/>
        <w:jc w:val="both"/>
        <w:rPr>
          <w:rFonts w:ascii="David" w:hAnsi="David"/>
          <w:sz w:val="28"/>
          <w:szCs w:val="28"/>
          <w:rtl/>
        </w:rPr>
      </w:pPr>
      <w:r>
        <w:rPr>
          <w:rFonts w:ascii="David" w:hAnsi="David"/>
          <w:b/>
          <w:bCs/>
          <w:sz w:val="28"/>
          <w:szCs w:val="28"/>
          <w:u w:val="single"/>
          <w:rtl/>
        </w:rPr>
        <w:t>עניינו של מר גיל רונן</w:t>
      </w:r>
      <w:r>
        <w:rPr>
          <w:rFonts w:ascii="David" w:hAnsi="David"/>
          <w:sz w:val="28"/>
          <w:szCs w:val="28"/>
          <w:rtl/>
        </w:rPr>
        <w:t>:</w:t>
      </w:r>
    </w:p>
    <w:p w:rsidR="00DF44B4" w:rsidP="00DF44B4" w:rsidRDefault="00DF44B4">
      <w:pPr>
        <w:numPr>
          <w:ilvl w:val="0"/>
          <w:numId w:val="1"/>
        </w:numPr>
        <w:spacing w:line="360" w:lineRule="auto"/>
        <w:jc w:val="both"/>
        <w:rPr>
          <w:rFonts w:ascii="David" w:hAnsi="David"/>
          <w:sz w:val="28"/>
          <w:szCs w:val="28"/>
          <w:rtl/>
        </w:rPr>
      </w:pPr>
      <w:r>
        <w:rPr>
          <w:rFonts w:ascii="David" w:hAnsi="David"/>
          <w:sz w:val="28"/>
          <w:szCs w:val="28"/>
          <w:rtl/>
        </w:rPr>
        <w:t xml:space="preserve">בהליך בבית הדין האזורי טען מר רונן כי הוא זכאי לקצבה מיוחדת בחלופת תחבורה ציבורית, נוכח מגבלותיו הרפואיות הרבות – פגיעה נפשית, פגיעה נוירולוגית (חולשה בפלג גוף ימין) ומגבלות נוספות, אשר יוצרות מניעה לשימוש בתחבורה ציבורית. עוד ציין מר רונן כי נקבעה לו מגבלה בניידות על פי הסכם הניידות, וכי הוא רשאי לנהוג רק ברכב מותאם והוענק לו תו נכה. בהקשר זה הפנה מר רונן בסיכומיו בבית הדין האזורי לקביעות ועדות שונות בעניינו כמו גם לחוות דעת של גורמים שונים במוסד שהכירו במגבלת הניידות של מר רונן, המעידות לטענתו על העדר יכולת להשתמש בתחבורה ציבורית. מר רונן הדגיש בסיכומיו כי יש לבדוק את יכולתו להשתמש בתחבורה ציבורית נוכח מגבלותיו, וטען כי אין לדחות את תביעתו בשל "הפתרון" – נהיגה עצמית ברכב מותאם. בהקשר זה נטען גם כי המוסד לא בחן (לפחות בשלב ראשון) את המרחק מביתו לתחנת האוטובוס, את המרחק מעבודתו לתחנה, תדירות האוטובוסים וכו', ואת יכולתו להשתמש בתחבורה ציבורית בהתחשב במכלול הליקויים הרפואיים. בכל הנוגע להחלטת רופא המוסד, ד"ר פיזרו, טען מר רונן כי הוא לא ידע שעליו לקבל מידע מרופאיו של מר רונן; לא נתן אמון בהחלטות הוועדות הרפואיות ובממצאיהן בנוגע לנכותו של מר רונן; מר רונן לא נבדק על ידי פסיכיאטר עובר למתן ההחלטה. </w:t>
      </w:r>
    </w:p>
    <w:p w:rsidR="00DF44B4" w:rsidP="00DF44B4" w:rsidRDefault="00DF44B4">
      <w:pPr>
        <w:numPr>
          <w:ilvl w:val="0"/>
          <w:numId w:val="1"/>
        </w:numPr>
        <w:spacing w:line="360" w:lineRule="auto"/>
        <w:jc w:val="both"/>
        <w:rPr>
          <w:rFonts w:ascii="David" w:hAnsi="David"/>
          <w:sz w:val="28"/>
          <w:szCs w:val="28"/>
        </w:rPr>
      </w:pPr>
      <w:r>
        <w:rPr>
          <w:rFonts w:ascii="David" w:hAnsi="David"/>
          <w:sz w:val="28"/>
          <w:szCs w:val="28"/>
          <w:rtl/>
        </w:rPr>
        <w:t xml:space="preserve">בית הדין האזורי דחה את התביעה הן בהיבט העובדתי והן בהיבט הרפואי. בהיבט העובדתי, הצביע בית הדין האזורי על אי התאמה בין גרסתו של מר רונן בתצהירו לעניין היקף נסיעותיו ומשכן לבין גרסתו בעדותו; בעוד שבתצהיר עדותו כלל לא הזכיר הסעה על ידי אחר, בעדותו העיד לראשונה על כך שבשנה הראשונה שלאחר התאונה אחד מהעובדים שלו שימש כנהגו. כן העיד, כי הוא זקוק מעת לעת להסעות של עובדים במפעלו. אולם, מר רונן לא זימן לעדות אף אחד מהעובדים שלטענתו הסיעו אותו בעבר ומסיעים אותו כיום; מעבר לכך, מר רונן העיד כי עובדיו מסיעים אותו כאשר מדובר בנסיעות עבודה ולא הזכיר הסעה בענייניו הפרטיים, ולא ניתן כל הסבר מניח את הדעת להיזקקות הנטענת של מר רונן להסעות במסגרת העבודה דווקא, ולא במסגרת ענייניו הפרטיים. בהקשר זה ציין בית הדין האזורי כי מר רונן העיד כי יש ימים שבהם הוא נוסע שעות רבות להנאתו, ללא קשר לעבודה, ובין היתר למאגרי המים בעמק ולמשחקי כדורסל של בנו. גם על פי דו"ח הערכה מיום 29.8.2017 מר רונן נזקק ל"סיוע קל" עת מדובר בהליכה ממושכת ו/או עלייה במדרגות. </w:t>
      </w:r>
    </w:p>
    <w:p w:rsidR="00DF44B4" w:rsidP="00DF44B4" w:rsidRDefault="00DF44B4">
      <w:pPr>
        <w:spacing w:line="360" w:lineRule="auto"/>
        <w:ind w:left="360"/>
        <w:jc w:val="both"/>
        <w:rPr>
          <w:rFonts w:ascii="David" w:hAnsi="David"/>
          <w:sz w:val="28"/>
          <w:szCs w:val="28"/>
        </w:rPr>
      </w:pPr>
      <w:r>
        <w:rPr>
          <w:rFonts w:ascii="David" w:hAnsi="David"/>
          <w:sz w:val="28"/>
          <w:szCs w:val="28"/>
          <w:rtl/>
        </w:rPr>
        <w:t xml:space="preserve">לסיכום ההיבט העובדתי קבע בית הדין האזורי כי לאור קביעותיו בעניין גרסתו של מר רונן, ונוכח "התפתחות" גרסתו בעדותו לעניין הסעות על ידי אחרים אשר לא גובתה בראיות אובייקטיביות מספקות, לא הוכח כי מר רונן מוסע על ידי אחרים (לפחות לא באופן משמעותי) בין במסגרת העבודה ובין בחייו הפרטיים, והתרשמות בית הדין היא שמר רונן נוהג ברכבו בעצמו, מיוזמתו ואף להנאתו. </w:t>
      </w:r>
    </w:p>
    <w:p w:rsidR="00DF44B4" w:rsidP="00DF44B4" w:rsidRDefault="00DF44B4">
      <w:pPr>
        <w:spacing w:line="360" w:lineRule="auto"/>
        <w:ind w:left="360"/>
        <w:jc w:val="both"/>
        <w:rPr>
          <w:rFonts w:ascii="David" w:hAnsi="David"/>
          <w:sz w:val="28"/>
          <w:szCs w:val="28"/>
        </w:rPr>
      </w:pPr>
      <w:r>
        <w:rPr>
          <w:rFonts w:ascii="David" w:hAnsi="David"/>
          <w:sz w:val="28"/>
          <w:szCs w:val="28"/>
          <w:rtl/>
        </w:rPr>
        <w:t xml:space="preserve">גם אילו הייתה מתקבלת גרסתו של מר רונן בדבר הסעתו על ידי אחרים, הרי מעדותו עולה כי הסעתו על ידי אחרים אינה משמעותית, עקבית ורציפה בשגרת יומו. לפיכך, לא מדובר "במידה רבה" או "בקביעות", אלא לכל היותר נזקק להסעות על ידי אחרים באופן אקראי, ועל כן לא מתקיימים התנאים לזכאות על פי תקנה 10(ב) או תקנה 10(ג) לתקנות קצבה מיוחדת. </w:t>
      </w:r>
    </w:p>
    <w:p w:rsidR="00DF44B4" w:rsidP="00DF44B4" w:rsidRDefault="00DF44B4">
      <w:pPr>
        <w:spacing w:line="360" w:lineRule="auto"/>
        <w:ind w:left="360"/>
        <w:jc w:val="both"/>
        <w:rPr>
          <w:rFonts w:ascii="David" w:hAnsi="David"/>
          <w:sz w:val="28"/>
          <w:szCs w:val="28"/>
          <w:rtl/>
        </w:rPr>
      </w:pPr>
      <w:r>
        <w:rPr>
          <w:rFonts w:ascii="David" w:hAnsi="David"/>
          <w:sz w:val="28"/>
          <w:szCs w:val="28"/>
          <w:rtl/>
        </w:rPr>
        <w:t xml:space="preserve">מעבר לכך, מעדותו של מר רונן עולה כי הוא כלל לא ניסה לנסוע בתחבורה ציבורית, וחששו אינו מבוסס על ניסיון ממשי שערך אלא על השערה, עת נסע רק באוטובוס בשדה התעופה, כשיש הבדל משמעותי בין נסיעה באוטובוס בשדה התעופה לבין נסיעה "רגילה" בארץ. זאת ועוד. גם על פי עדותו טס לחו"ל מספר פעמים לאחר הפגיעה, כך שהקושי הנטען על ידו לנסוע באוטובוס לא מנע ממנו לטוס פעמים נוספות. </w:t>
      </w:r>
    </w:p>
    <w:p w:rsidR="00DF44B4" w:rsidP="00DF44B4" w:rsidRDefault="00DF44B4">
      <w:pPr>
        <w:numPr>
          <w:ilvl w:val="0"/>
          <w:numId w:val="1"/>
        </w:numPr>
        <w:spacing w:line="360" w:lineRule="auto"/>
        <w:jc w:val="both"/>
        <w:rPr>
          <w:rFonts w:ascii="David" w:hAnsi="David"/>
          <w:sz w:val="28"/>
          <w:szCs w:val="28"/>
          <w:rtl/>
        </w:rPr>
      </w:pPr>
      <w:r>
        <w:rPr>
          <w:rFonts w:ascii="David" w:hAnsi="David"/>
          <w:sz w:val="28"/>
          <w:szCs w:val="28"/>
          <w:rtl/>
        </w:rPr>
        <w:t xml:space="preserve">בכל הנוגע ליכולתו של מר רונן לעשות שימוש בתחבורה ציבורית, נפסק כי מדובר בשאלה שבמומחיות רפואית, ולכן אין להכריע בה ללא חוות דעת מתאימה. הקביעה הרפואית בנוגע למניעות בנסיעה בתחבורה ציבורית צריכה להיעשות על ידי מומחים רפואיים ולא על ידי בית הדין. אחר זאת, בית הדין האזורי ניתח את  עדותו של ד"ר פיזרו, רופא המוסד שהחליט בעניינו של מר רונן, וקבע כי בניגוד לטענת מר רונן, לא עולה מעדותו כי מר רונן מנוע מנסיעה בתחבורה ציבורית. בית הדין הוסיף כי אמנם עדותו של ד"ר פיזרו לא הייתה אחידה וסדורה באופן מלא, אולם לא ניתן להסיק מעדותו כי החלטתו של המוסד לא הייתה סבירה וכי מבחינה רפואית יש למר רונן מניעה מנסיעה בתחבורה ציבורית. בית הדין האזורי הוסיף כי הוצע למר רונן מספר פעמים להיבדק על ידי פסיכיאטר מטעם המוסד אולם הוא סירב לכך. </w:t>
      </w:r>
    </w:p>
    <w:p w:rsidR="00DF44B4" w:rsidP="00DF44B4" w:rsidRDefault="00DF44B4">
      <w:pPr>
        <w:numPr>
          <w:ilvl w:val="0"/>
          <w:numId w:val="1"/>
        </w:numPr>
        <w:spacing w:line="360" w:lineRule="auto"/>
        <w:jc w:val="both"/>
        <w:rPr>
          <w:rFonts w:ascii="David" w:hAnsi="David"/>
          <w:sz w:val="28"/>
          <w:szCs w:val="28"/>
        </w:rPr>
      </w:pPr>
      <w:r>
        <w:rPr>
          <w:rFonts w:ascii="David" w:hAnsi="David"/>
          <w:sz w:val="28"/>
          <w:szCs w:val="28"/>
          <w:rtl/>
        </w:rPr>
        <w:t xml:space="preserve">בית הדין האזורי דחה את טענותיו של מר רונן באשר לפגמים שנפלו בהתנהלות המוסד, וקבע כי ההליך בעניינו התנהל בדרך המקובלת וההחלטות נתקבלו על ידי הגורמים המוסמכים, וההחלטה לא חרגה ממתחם הסבירות. יחד עם זאת קבע, כפי שנקבע בעניין ביטון, כי טוב יהיה אם המוסד יפעל על מנת לקבוע כללים ברורים בכל הקשור להסעה מיוחדת. </w:t>
      </w:r>
    </w:p>
    <w:p w:rsidR="00DF44B4" w:rsidP="00DF44B4" w:rsidRDefault="00DF44B4">
      <w:pPr>
        <w:numPr>
          <w:ilvl w:val="0"/>
          <w:numId w:val="1"/>
        </w:numPr>
        <w:spacing w:line="360" w:lineRule="auto"/>
        <w:jc w:val="both"/>
        <w:rPr>
          <w:rFonts w:ascii="David" w:hAnsi="David"/>
          <w:sz w:val="28"/>
          <w:szCs w:val="28"/>
        </w:rPr>
      </w:pPr>
      <w:r>
        <w:rPr>
          <w:rFonts w:ascii="David" w:hAnsi="David"/>
          <w:b/>
          <w:bCs/>
          <w:sz w:val="28"/>
          <w:szCs w:val="28"/>
          <w:rtl/>
        </w:rPr>
        <w:t xml:space="preserve">בערעורו חזר מר רונן, </w:t>
      </w:r>
      <w:r>
        <w:rPr>
          <w:rFonts w:ascii="David" w:hAnsi="David"/>
          <w:sz w:val="28"/>
          <w:szCs w:val="28"/>
          <w:rtl/>
        </w:rPr>
        <w:t xml:space="preserve">בעיקרו של דבר, על טענותיו בבית הדין האזורי, וטען כי בית הדין האזורי התעלם ממגבלותיו הרפואיות הרבות, כפי שנקבעו על ידי גורמים שונים במוסד לביטוח לאומי ועל טענותיו בנוגע להליך בדיקת זכאותו של מר רונן לקצבה מיוחדת בחלופת תחבורה ציבורית. בהקשר זה, הכחיש מר רונן כי סירב להיבדק על ידי פסיכיאטר מטעם המוסד. </w:t>
      </w:r>
    </w:p>
    <w:p w:rsidR="00DF44B4" w:rsidP="00DF44B4" w:rsidRDefault="00DF44B4">
      <w:pPr>
        <w:numPr>
          <w:ilvl w:val="0"/>
          <w:numId w:val="1"/>
        </w:numPr>
        <w:spacing w:line="360" w:lineRule="auto"/>
        <w:jc w:val="both"/>
        <w:rPr>
          <w:rFonts w:ascii="David" w:hAnsi="David"/>
          <w:sz w:val="28"/>
          <w:szCs w:val="28"/>
        </w:rPr>
      </w:pPr>
      <w:r>
        <w:rPr>
          <w:rFonts w:ascii="David" w:hAnsi="David"/>
          <w:b/>
          <w:bCs/>
          <w:sz w:val="28"/>
          <w:szCs w:val="28"/>
          <w:rtl/>
        </w:rPr>
        <w:t xml:space="preserve">המוסד </w:t>
      </w:r>
      <w:r>
        <w:rPr>
          <w:rFonts w:ascii="David" w:hAnsi="David"/>
          <w:sz w:val="28"/>
          <w:szCs w:val="28"/>
          <w:rtl/>
        </w:rPr>
        <w:t xml:space="preserve">טען כי לא הוכח שמר רונן מנוע בשל נכותו להסתייע בתחבורה ציבורית בקביעות, ולא הובאו כל ראיות אובייקטיביות לתמיכה בגרסתו, וכי על פי בדיקת נוירולוג מיום 10.1.2018 והערכת התלות שנערכה למר רונן מגבלותיו הרפואיות אינן כנטען על ידו. כמו כן עניינו של מר רונן הועבר להתייעצות עם פסיכיאטר; מהראיות עולה כי מר רונן לא נזקק לטיפולים רפואיים בתדירות קבועה, והוא מנהל את חייו בשגרה, בפעילויות פרטיות ועסקיות ברכבו.   </w:t>
      </w:r>
    </w:p>
    <w:p w:rsidR="00DF44B4" w:rsidP="00DF44B4" w:rsidRDefault="00DF44B4">
      <w:pPr>
        <w:numPr>
          <w:ilvl w:val="0"/>
          <w:numId w:val="1"/>
        </w:numPr>
        <w:spacing w:line="360" w:lineRule="auto"/>
        <w:jc w:val="both"/>
        <w:rPr>
          <w:rFonts w:ascii="David" w:hAnsi="David"/>
          <w:sz w:val="28"/>
          <w:szCs w:val="28"/>
        </w:rPr>
      </w:pPr>
      <w:r>
        <w:rPr>
          <w:rFonts w:ascii="David" w:hAnsi="David"/>
          <w:b/>
          <w:bCs/>
          <w:sz w:val="28"/>
          <w:szCs w:val="28"/>
          <w:rtl/>
        </w:rPr>
        <w:t>לאחר בחינת טענות הצדדים</w:t>
      </w:r>
      <w:r>
        <w:rPr>
          <w:rFonts w:ascii="David" w:hAnsi="David"/>
          <w:sz w:val="28"/>
          <w:szCs w:val="28"/>
          <w:rtl/>
        </w:rPr>
        <w:t xml:space="preserve"> אנו קובעים שיש להחזיר את עניינו של מר רונן לבדיקה חוזרת של זכאותו, וזאת לאור ההבהרה כי העובדה שהוא נוהג ברכבו הפרטי אינה שוללת את זכאותו לקצבה מיוחדת בחלופת תחבורה ציבורית. </w:t>
      </w:r>
    </w:p>
    <w:p w:rsidR="00DF44B4" w:rsidP="00DF44B4" w:rsidRDefault="00DF44B4">
      <w:pPr>
        <w:numPr>
          <w:ilvl w:val="0"/>
          <w:numId w:val="1"/>
        </w:numPr>
        <w:spacing w:line="360" w:lineRule="auto"/>
        <w:jc w:val="both"/>
        <w:rPr>
          <w:rFonts w:ascii="David" w:hAnsi="David"/>
          <w:sz w:val="28"/>
          <w:szCs w:val="28"/>
        </w:rPr>
      </w:pPr>
      <w:r>
        <w:rPr>
          <w:rFonts w:ascii="David" w:hAnsi="David"/>
          <w:sz w:val="28"/>
          <w:szCs w:val="28"/>
          <w:rtl/>
        </w:rPr>
        <w:t xml:space="preserve">נדגיש שוב, כפי שהובהר לעיל בעניינו של מר ביטון, וכפי שקבע בית הדין האזורי בסעיף 39 לפסק דינו, כי השאלה אם נוכח מגבלותיו הרפואיות מר רונן אינו יכול להשתמש בתחבורה ציבורית היא שאלה </w:t>
      </w:r>
      <w:r>
        <w:rPr>
          <w:rFonts w:ascii="David" w:hAnsi="David"/>
          <w:b/>
          <w:bCs/>
          <w:sz w:val="28"/>
          <w:szCs w:val="28"/>
          <w:rtl/>
        </w:rPr>
        <w:t>רפואית</w:t>
      </w:r>
      <w:r>
        <w:rPr>
          <w:rFonts w:ascii="David" w:hAnsi="David"/>
          <w:sz w:val="28"/>
          <w:szCs w:val="28"/>
          <w:rtl/>
        </w:rPr>
        <w:t xml:space="preserve">. על כן, לא היה מקום שבית הדין האזורי יתייחס לעניין זה, כגון בקביעתו כי מר רונן לא ניסה להשתמש בתחבורה ציבורית. </w:t>
      </w:r>
    </w:p>
    <w:p w:rsidR="00DF44B4" w:rsidP="00DF44B4" w:rsidRDefault="00DF44B4">
      <w:pPr>
        <w:numPr>
          <w:ilvl w:val="0"/>
          <w:numId w:val="1"/>
        </w:numPr>
        <w:spacing w:line="360" w:lineRule="auto"/>
        <w:jc w:val="both"/>
        <w:rPr>
          <w:rFonts w:ascii="David" w:hAnsi="David"/>
          <w:b/>
          <w:bCs/>
          <w:sz w:val="28"/>
          <w:szCs w:val="28"/>
        </w:rPr>
      </w:pPr>
      <w:r>
        <w:rPr>
          <w:rFonts w:ascii="David" w:hAnsi="David"/>
          <w:sz w:val="28"/>
          <w:szCs w:val="28"/>
          <w:rtl/>
        </w:rPr>
        <w:t xml:space="preserve">מעדותו של ד"ר פיזרו עולה כי לגישתו נוכח העובדה שמר רונן נוהג בעצמו ברכבו הוא אינו עומד בתנאי החלופה של נזקק להסעה מיוחדת. כך, העיד ד"ר פיזרו כי </w:t>
      </w:r>
      <w:r>
        <w:rPr>
          <w:rFonts w:ascii="David" w:hAnsi="David"/>
          <w:b/>
          <w:bCs/>
          <w:sz w:val="28"/>
          <w:szCs w:val="28"/>
          <w:rtl/>
        </w:rPr>
        <w:t xml:space="preserve">"האיש לפי הבדיקה של המעריכה יש לו חיים די רגילים. לא יכול להשתמש בתחבורה ציבורית? אין צורך, כי יש לו מכונית, נוהג, למרות הנכות על פגיעה קוגניטיבית, מסוגל לנהוג, להגיע לעבודה, לקחת את הילדים ולפזר אותם לגנים. איך אפשר להגיד שזקוק לנסיעה מיוחדת? הוא נוסע עצמאית עם הרכב שלו" </w:t>
      </w:r>
      <w:r>
        <w:rPr>
          <w:rFonts w:ascii="David" w:hAnsi="David"/>
          <w:sz w:val="28"/>
          <w:szCs w:val="28"/>
          <w:rtl/>
        </w:rPr>
        <w:t xml:space="preserve">(פרוטוקול ע' 50, ש' 17 – 21). כמו כן עולה מעדותו כי לא הכיר חלק מהנהלים ואינו פועל על פיהם (פרוטוקול ע' 48 ש' 1 – 15); כי הוא סבור שקביעות הוועדות הרפואיות בעניין דרגת הנכות של מר רונן אינן משקפות את מצבו, אם כי השיב כי ככל שקיימים הממצאים הרפואיים שנקבעו יש בכך כדי להגביל משימוש בתחבורה ציבורית (פרוטוקול ע' 53, ש' 9 – 12). כפי שקבע בית הדין האזורי בפסק דינו, עדותו של ד"ר פיזרו לא הייתה אחידה וסדורה, וקביעה זו מקובלת עלינו. אולם, מסקנתנו מעדותו שונה מזו של בית הדין האזורי, ואנו סבורים כי לא ניתן לאשר את החלטת המוסד על סמך עדותו. </w:t>
      </w:r>
    </w:p>
    <w:p w:rsidR="00DF44B4" w:rsidP="00DF44B4" w:rsidRDefault="00DF44B4">
      <w:pPr>
        <w:numPr>
          <w:ilvl w:val="0"/>
          <w:numId w:val="1"/>
        </w:numPr>
        <w:spacing w:line="360" w:lineRule="auto"/>
        <w:ind w:left="357"/>
        <w:jc w:val="both"/>
        <w:rPr>
          <w:rFonts w:ascii="David" w:hAnsi="David"/>
          <w:b/>
          <w:bCs/>
          <w:sz w:val="28"/>
          <w:szCs w:val="28"/>
          <w:u w:val="single"/>
        </w:rPr>
      </w:pPr>
      <w:r>
        <w:rPr>
          <w:rFonts w:ascii="David" w:hAnsi="David"/>
          <w:sz w:val="28"/>
          <w:szCs w:val="28"/>
          <w:rtl/>
        </w:rPr>
        <w:t xml:space="preserve">לאור האמור, יש להחזיר את עניינו של מר רונן לדיון מחדש במוסד, וזאת לאחר ההבהרה כי העובדה שהוא נוהג ברכבו אינה שוללת את זכאותו לקצבה מיוחדת בחלופת תחבורה ציבורית. על פני הדברים, נראה שיש מקום שקודם לקבלת ההחלטה תיערך היוועצות עם פסיכיאטר (כפי שהמוסד טוען שנעשה), וכמובהר עליו לבדוק את מר רונן. קודם למתן החלטה חדשה, על המוסד ליתן למר רונן זכות טיעון (בכתב או בעל פה), כאמור בסעיף 48 לעיל. </w:t>
      </w:r>
    </w:p>
    <w:p w:rsidR="00DF44B4" w:rsidP="00DF44B4" w:rsidRDefault="00DF44B4">
      <w:pPr>
        <w:spacing w:line="360" w:lineRule="auto"/>
        <w:ind w:left="357"/>
        <w:jc w:val="both"/>
        <w:rPr>
          <w:rFonts w:ascii="David" w:hAnsi="David"/>
          <w:b/>
          <w:bCs/>
          <w:sz w:val="28"/>
          <w:szCs w:val="28"/>
          <w:u w:val="single"/>
          <w:rtl/>
        </w:rPr>
      </w:pPr>
    </w:p>
    <w:p w:rsidR="00DF44B4" w:rsidP="00DF44B4" w:rsidRDefault="00DF44B4">
      <w:pPr>
        <w:spacing w:line="360" w:lineRule="auto"/>
        <w:ind w:left="357"/>
        <w:jc w:val="both"/>
        <w:rPr>
          <w:rFonts w:ascii="David" w:hAnsi="David"/>
          <w:sz w:val="28"/>
          <w:szCs w:val="28"/>
          <w:rtl/>
        </w:rPr>
      </w:pPr>
      <w:r>
        <w:rPr>
          <w:rFonts w:ascii="David" w:hAnsi="David"/>
          <w:b/>
          <w:bCs/>
          <w:sz w:val="28"/>
          <w:szCs w:val="28"/>
          <w:u w:val="single"/>
          <w:rtl/>
        </w:rPr>
        <w:t>סוף דבר</w:t>
      </w:r>
      <w:r>
        <w:rPr>
          <w:rFonts w:ascii="David" w:hAnsi="David"/>
          <w:sz w:val="28"/>
          <w:szCs w:val="28"/>
          <w:rtl/>
        </w:rPr>
        <w:t>:</w:t>
      </w:r>
    </w:p>
    <w:p w:rsidR="00DF44B4" w:rsidP="00DF44B4" w:rsidRDefault="00DF44B4">
      <w:pPr>
        <w:numPr>
          <w:ilvl w:val="0"/>
          <w:numId w:val="1"/>
        </w:numPr>
        <w:spacing w:line="360" w:lineRule="auto"/>
        <w:contextualSpacing/>
        <w:jc w:val="both"/>
        <w:rPr>
          <w:rFonts w:ascii="David" w:hAnsi="David"/>
          <w:sz w:val="28"/>
          <w:szCs w:val="28"/>
          <w:rtl/>
        </w:rPr>
      </w:pPr>
      <w:r>
        <w:rPr>
          <w:rFonts w:ascii="David" w:hAnsi="David"/>
          <w:sz w:val="28"/>
          <w:szCs w:val="28"/>
          <w:rtl/>
        </w:rPr>
        <w:t xml:space="preserve">הערעורים מתקבלים כמפורט להלן: </w:t>
      </w:r>
    </w:p>
    <w:p w:rsidR="00DF44B4" w:rsidP="00DF44B4" w:rsidRDefault="00DF44B4">
      <w:pPr>
        <w:numPr>
          <w:ilvl w:val="1"/>
          <w:numId w:val="1"/>
        </w:numPr>
        <w:spacing w:line="360" w:lineRule="auto"/>
        <w:ind w:left="992" w:hanging="567"/>
        <w:jc w:val="both"/>
        <w:rPr>
          <w:rFonts w:ascii="David" w:hAnsi="David"/>
          <w:b/>
          <w:bCs/>
          <w:sz w:val="28"/>
          <w:szCs w:val="28"/>
        </w:rPr>
      </w:pPr>
      <w:r>
        <w:rPr>
          <w:rFonts w:ascii="David" w:hAnsi="David"/>
          <w:sz w:val="28"/>
          <w:szCs w:val="28"/>
          <w:rtl/>
        </w:rPr>
        <w:t xml:space="preserve">במישור העקרוני – העובדה שנכה עבודה נוהג בעצמו ברכב אינה שוללת את זכאותו לקצבה מיוחדת בחלופת תחבורה ציבורית, דהיינו </w:t>
      </w:r>
      <w:r>
        <w:rPr>
          <w:rFonts w:ascii="David" w:hAnsi="David"/>
          <w:b/>
          <w:bCs/>
          <w:sz w:val="28"/>
          <w:szCs w:val="28"/>
          <w:rtl/>
        </w:rPr>
        <w:t xml:space="preserve">"זקוק להסעות .. שלא בתחבורה ציבורית ...". </w:t>
      </w:r>
    </w:p>
    <w:p w:rsidR="00DF44B4" w:rsidP="00DF44B4" w:rsidRDefault="00DF44B4">
      <w:pPr>
        <w:numPr>
          <w:ilvl w:val="1"/>
          <w:numId w:val="1"/>
        </w:numPr>
        <w:spacing w:line="360" w:lineRule="auto"/>
        <w:ind w:left="992" w:hanging="567"/>
        <w:jc w:val="both"/>
        <w:rPr>
          <w:rFonts w:ascii="David" w:hAnsi="David"/>
          <w:sz w:val="28"/>
          <w:szCs w:val="28"/>
        </w:rPr>
      </w:pPr>
      <w:r>
        <w:rPr>
          <w:rFonts w:ascii="David" w:hAnsi="David"/>
          <w:sz w:val="28"/>
          <w:szCs w:val="28"/>
          <w:rtl/>
        </w:rPr>
        <w:t xml:space="preserve">במישור הפרטני – עניינם של מר ביטון ומר רונן יוחזר לבחינה מחדש במוסד, עת יובהר לגורמים המחליטים כי נהיגה עצמית ברכב אינה שוללת את הזכאות לקצבה מיוחדת בחלופת תחבורה ציבורית, ועל פי ההנחיות שנקבעו לעיל. </w:t>
      </w:r>
    </w:p>
    <w:p w:rsidR="00DF44B4" w:rsidP="00DF44B4" w:rsidRDefault="00DF44B4">
      <w:pPr>
        <w:numPr>
          <w:ilvl w:val="0"/>
          <w:numId w:val="1"/>
        </w:numPr>
        <w:spacing w:line="360" w:lineRule="auto"/>
        <w:jc w:val="both"/>
        <w:rPr>
          <w:rFonts w:ascii="David" w:hAnsi="David"/>
          <w:sz w:val="28"/>
          <w:szCs w:val="28"/>
        </w:rPr>
      </w:pPr>
      <w:r>
        <w:rPr>
          <w:rFonts w:ascii="David" w:hAnsi="David"/>
          <w:sz w:val="28"/>
          <w:szCs w:val="28"/>
          <w:rtl/>
        </w:rPr>
        <w:t xml:space="preserve">המוסד ישלם לכל אחד משני המערערים – מר ביטון ומר רונן – שכ"ט עו"ד בסך של  4,000 ₪, וזאת בתוך 30 יום. </w:t>
      </w:r>
    </w:p>
    <w:p w:rsidR="00DF44B4" w:rsidP="00DF44B4" w:rsidRDefault="00DF44B4">
      <w:pPr>
        <w:spacing w:line="360" w:lineRule="auto"/>
        <w:jc w:val="both"/>
        <w:rPr>
          <w:rFonts w:ascii="David" w:hAnsi="David"/>
          <w:sz w:val="28"/>
          <w:szCs w:val="28"/>
        </w:rPr>
      </w:pPr>
    </w:p>
    <w:p w:rsidR="00DF44B4" w:rsidP="00DF44B4" w:rsidRDefault="00DF44B4">
      <w:pPr>
        <w:spacing w:line="360" w:lineRule="auto"/>
        <w:jc w:val="both"/>
        <w:rPr>
          <w:rFonts w:ascii="David" w:hAnsi="David"/>
          <w:sz w:val="28"/>
          <w:szCs w:val="28"/>
          <w:rtl/>
        </w:rPr>
      </w:pPr>
      <w:r>
        <w:rPr>
          <w:rFonts w:ascii="Arial" w:hAnsi="Arial"/>
          <w:b/>
          <w:bCs/>
          <w:sz w:val="28"/>
          <w:szCs w:val="28"/>
          <w:rtl/>
        </w:rPr>
        <w:t xml:space="preserve">ניתן היום, </w:t>
      </w:r>
      <w:sdt>
        <w:sdtPr>
          <w:rPr>
            <w:b/>
            <w:bCs/>
            <w:sz w:val="28"/>
            <w:szCs w:val="28"/>
            <w:rtl/>
          </w:rPr>
          <w:alias w:val="1455"/>
          <w:tag w:val="1455"/>
          <w:id w:val="1147783837"/>
          <w:text w:multiLine="1"/>
        </w:sdtPr>
        <w:sdtContent>
          <w:r>
            <w:rPr>
              <w:rFonts w:ascii="Arial" w:hAnsi="Arial"/>
              <w:b/>
              <w:bCs/>
              <w:sz w:val="28"/>
              <w:szCs w:val="28"/>
              <w:rtl/>
            </w:rPr>
            <w:t>י"ט טבת תשפ"ב</w:t>
          </w:r>
        </w:sdtContent>
      </w:sdt>
      <w:r>
        <w:rPr>
          <w:rFonts w:ascii="Arial" w:hAnsi="Arial"/>
          <w:b/>
          <w:bCs/>
          <w:sz w:val="28"/>
          <w:szCs w:val="28"/>
          <w:rtl/>
        </w:rPr>
        <w:t xml:space="preserve"> (</w:t>
      </w:r>
      <w:sdt>
        <w:sdtPr>
          <w:rPr>
            <w:b/>
            <w:bCs/>
            <w:sz w:val="28"/>
            <w:szCs w:val="28"/>
            <w:rtl/>
          </w:rPr>
          <w:alias w:val="1456"/>
          <w:tag w:val="1456"/>
          <w:id w:val="1602918797"/>
          <w:text w:multiLine="1"/>
        </w:sdtPr>
        <w:sdtContent>
          <w:r>
            <w:rPr>
              <w:rFonts w:ascii="Arial" w:hAnsi="Arial"/>
              <w:b/>
              <w:bCs/>
              <w:sz w:val="28"/>
              <w:szCs w:val="28"/>
              <w:rtl/>
            </w:rPr>
            <w:t>23 דצמבר 2021</w:t>
          </w:r>
        </w:sdtContent>
      </w:sdt>
      <w:r>
        <w:rPr>
          <w:rFonts w:ascii="Arial" w:hAnsi="Arial"/>
          <w:b/>
          <w:bCs/>
          <w:sz w:val="28"/>
          <w:szCs w:val="28"/>
          <w:rtl/>
        </w:rPr>
        <w:t>), בהעדר הצדדים וישלח אליהם</w:t>
      </w:r>
      <w:r>
        <w:rPr>
          <w:rFonts w:ascii="David" w:hAnsi="David"/>
          <w:sz w:val="28"/>
          <w:szCs w:val="28"/>
          <w:rtl/>
        </w:rPr>
        <w:t xml:space="preserve">. </w:t>
      </w:r>
    </w:p>
    <w:tbl>
      <w:tblPr>
        <w:tblStyle w:val="aa"/>
        <w:bidiVisual/>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1E0" w:firstRow="1" w:lastRow="1" w:firstColumn="1" w:lastColumn="1" w:noHBand="0" w:noVBand="0"/>
      </w:tblPr>
      <w:tblGrid>
        <w:gridCol w:w="2779"/>
        <w:gridCol w:w="354"/>
        <w:gridCol w:w="2299"/>
        <w:gridCol w:w="354"/>
        <w:gridCol w:w="2520"/>
      </w:tblGrid>
      <w:tr w:rsidR="00DF44B4" w:rsidTr="00DF44B4">
        <w:tc>
          <w:tcPr>
            <w:tcW w:w="2779" w:type="dxa"/>
            <w:tcBorders>
              <w:top w:val="nil"/>
              <w:left w:val="nil"/>
              <w:bottom w:val="single" w:color="auto" w:sz="4" w:space="0"/>
              <w:right w:val="nil"/>
            </w:tcBorders>
            <w:vAlign w:val="center"/>
            <w:hideMark/>
          </w:tcPr>
          <w:p w:rsidR="00DF44B4" w:rsidRDefault="00DF44B4">
            <w:pPr>
              <w:spacing w:before="40" w:after="40"/>
              <w:jc w:val="center"/>
              <w:rPr>
                <w:rtl/>
              </w:rPr>
            </w:pPr>
            <w:r>
              <w:rPr>
                <w:rFonts w:ascii="Courier New" w:hAnsi="Courier New"/>
                <w:b/>
                <w:bCs/>
              </w:rPr>
              <w:drawing>
                <wp:inline distT="0" distB="0" distL="0" distR="0">
                  <wp:extent cx="888365" cy="763905"/>
                  <wp:effectExtent l="0" t="0" r="6985" b="0"/>
                  <wp:docPr id="11" name="תמונה 11" descr="056808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568086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8365" cy="763905"/>
                          </a:xfrm>
                          <a:prstGeom prst="rect">
                            <a:avLst/>
                          </a:prstGeom>
                          <a:noFill/>
                          <a:ln>
                            <a:noFill/>
                          </a:ln>
                        </pic:spPr>
                      </pic:pic>
                    </a:graphicData>
                  </a:graphic>
                </wp:inline>
              </w:drawing>
            </w:r>
          </w:p>
        </w:tc>
        <w:tc>
          <w:tcPr>
            <w:tcW w:w="354" w:type="dxa"/>
            <w:vAlign w:val="center"/>
          </w:tcPr>
          <w:p w:rsidR="00DF44B4" w:rsidRDefault="00DF44B4">
            <w:pPr>
              <w:spacing w:before="40" w:after="40"/>
              <w:jc w:val="center"/>
              <w:rPr>
                <w:rtl/>
              </w:rPr>
            </w:pPr>
          </w:p>
        </w:tc>
        <w:tc>
          <w:tcPr>
            <w:tcW w:w="2299" w:type="dxa"/>
            <w:tcBorders>
              <w:top w:val="nil"/>
              <w:left w:val="nil"/>
              <w:bottom w:val="single" w:color="auto" w:sz="4" w:space="0"/>
              <w:right w:val="nil"/>
            </w:tcBorders>
            <w:vAlign w:val="center"/>
            <w:hideMark/>
          </w:tcPr>
          <w:p w:rsidR="00DF44B4" w:rsidRDefault="00DF44B4">
            <w:pPr>
              <w:spacing w:before="40" w:after="40"/>
              <w:jc w:val="center"/>
              <w:rPr>
                <w:rtl/>
              </w:rPr>
            </w:pPr>
            <w:r>
              <w:drawing>
                <wp:inline distT="0" distB="0" distL="0" distR="0">
                  <wp:extent cx="1149350" cy="731520"/>
                  <wp:effectExtent l="0" t="0" r="0"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9350" cy="731520"/>
                          </a:xfrm>
                          <a:prstGeom prst="rect">
                            <a:avLst/>
                          </a:prstGeom>
                          <a:noFill/>
                          <a:ln>
                            <a:noFill/>
                          </a:ln>
                        </pic:spPr>
                      </pic:pic>
                    </a:graphicData>
                  </a:graphic>
                </wp:inline>
              </w:drawing>
            </w:r>
          </w:p>
        </w:tc>
        <w:tc>
          <w:tcPr>
            <w:tcW w:w="354" w:type="dxa"/>
            <w:vAlign w:val="center"/>
          </w:tcPr>
          <w:p w:rsidR="00DF44B4" w:rsidRDefault="00DF44B4">
            <w:pPr>
              <w:spacing w:before="40" w:after="40"/>
              <w:jc w:val="center"/>
              <w:rPr>
                <w:rtl/>
              </w:rPr>
            </w:pPr>
          </w:p>
        </w:tc>
        <w:tc>
          <w:tcPr>
            <w:tcW w:w="2520" w:type="dxa"/>
            <w:tcBorders>
              <w:top w:val="nil"/>
              <w:left w:val="nil"/>
              <w:bottom w:val="single" w:color="auto" w:sz="4" w:space="0"/>
              <w:right w:val="nil"/>
            </w:tcBorders>
            <w:vAlign w:val="center"/>
            <w:hideMark/>
          </w:tcPr>
          <w:p w:rsidR="00DF44B4" w:rsidRDefault="00DF44B4">
            <w:pPr>
              <w:spacing w:before="40" w:after="40"/>
              <w:jc w:val="center"/>
              <w:rPr>
                <w:rtl/>
              </w:rPr>
            </w:pPr>
            <w:r>
              <w:drawing>
                <wp:inline distT="0" distB="0" distL="0" distR="0">
                  <wp:extent cx="1286510" cy="600710"/>
                  <wp:effectExtent l="0" t="0" r="8890" b="8890"/>
                  <wp:docPr id="9" name="תמונה 9" descr="052346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523467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6510" cy="600710"/>
                          </a:xfrm>
                          <a:prstGeom prst="rect">
                            <a:avLst/>
                          </a:prstGeom>
                          <a:noFill/>
                          <a:ln>
                            <a:noFill/>
                          </a:ln>
                        </pic:spPr>
                      </pic:pic>
                    </a:graphicData>
                  </a:graphic>
                </wp:inline>
              </w:drawing>
            </w:r>
          </w:p>
        </w:tc>
      </w:tr>
      <w:tr w:rsidR="00DF44B4" w:rsidTr="00DF44B4">
        <w:tc>
          <w:tcPr>
            <w:tcW w:w="2779" w:type="dxa"/>
            <w:tcBorders>
              <w:top w:val="single" w:color="auto" w:sz="4" w:space="0"/>
              <w:left w:val="nil"/>
              <w:bottom w:val="nil"/>
              <w:right w:val="nil"/>
            </w:tcBorders>
            <w:vAlign w:val="center"/>
            <w:hideMark/>
          </w:tcPr>
          <w:p w:rsidR="00DF44B4" w:rsidRDefault="00DF44B4">
            <w:pPr>
              <w:spacing w:before="40" w:after="40"/>
              <w:jc w:val="center"/>
              <w:rPr>
                <w:b/>
                <w:bCs/>
                <w:sz w:val="28"/>
                <w:szCs w:val="28"/>
                <w:rtl/>
              </w:rPr>
            </w:pPr>
            <w:r>
              <w:rPr>
                <w:b/>
                <w:bCs/>
                <w:sz w:val="28"/>
                <w:szCs w:val="28"/>
                <w:rtl/>
              </w:rPr>
              <w:t>לאה גליקסמן,</w:t>
            </w:r>
          </w:p>
          <w:p w:rsidR="00DF44B4" w:rsidRDefault="00DF44B4">
            <w:pPr>
              <w:spacing w:before="40" w:after="40"/>
              <w:jc w:val="center"/>
              <w:rPr>
                <w:b/>
                <w:bCs/>
                <w:sz w:val="28"/>
                <w:szCs w:val="28"/>
                <w:rtl/>
              </w:rPr>
            </w:pPr>
            <w:r>
              <w:rPr>
                <w:b/>
                <w:bCs/>
                <w:sz w:val="28"/>
                <w:szCs w:val="28"/>
                <w:rtl/>
              </w:rPr>
              <w:t>שופטת, אב"ד</w:t>
            </w:r>
          </w:p>
        </w:tc>
        <w:tc>
          <w:tcPr>
            <w:tcW w:w="354" w:type="dxa"/>
            <w:vAlign w:val="center"/>
          </w:tcPr>
          <w:p w:rsidR="00DF44B4" w:rsidRDefault="00DF44B4">
            <w:pPr>
              <w:spacing w:before="40" w:after="40"/>
              <w:jc w:val="center"/>
              <w:rPr>
                <w:rtl/>
              </w:rPr>
            </w:pPr>
          </w:p>
        </w:tc>
        <w:tc>
          <w:tcPr>
            <w:tcW w:w="2299" w:type="dxa"/>
            <w:tcBorders>
              <w:top w:val="single" w:color="auto" w:sz="4" w:space="0"/>
              <w:left w:val="nil"/>
              <w:bottom w:val="nil"/>
              <w:right w:val="nil"/>
            </w:tcBorders>
            <w:vAlign w:val="center"/>
            <w:hideMark/>
          </w:tcPr>
          <w:p w:rsidR="00DF44B4" w:rsidRDefault="00DF44B4">
            <w:pPr>
              <w:spacing w:before="40" w:after="40"/>
              <w:jc w:val="center"/>
              <w:rPr>
                <w:b/>
                <w:bCs/>
                <w:sz w:val="28"/>
                <w:szCs w:val="28"/>
                <w:rtl/>
              </w:rPr>
            </w:pPr>
            <w:r>
              <w:rPr>
                <w:b/>
                <w:bCs/>
                <w:sz w:val="28"/>
                <w:szCs w:val="28"/>
                <w:rtl/>
              </w:rPr>
              <w:t>אילן סופר,</w:t>
            </w:r>
          </w:p>
          <w:p w:rsidR="00DF44B4" w:rsidRDefault="00DF44B4">
            <w:pPr>
              <w:spacing w:before="40" w:after="40"/>
              <w:jc w:val="center"/>
              <w:rPr>
                <w:b/>
                <w:bCs/>
                <w:noProof w:val="0"/>
                <w:sz w:val="28"/>
                <w:szCs w:val="28"/>
                <w:rtl/>
              </w:rPr>
            </w:pPr>
            <w:r>
              <w:rPr>
                <w:b/>
                <w:bCs/>
                <w:sz w:val="28"/>
                <w:szCs w:val="28"/>
                <w:rtl/>
              </w:rPr>
              <w:t>שופט</w:t>
            </w:r>
          </w:p>
        </w:tc>
        <w:tc>
          <w:tcPr>
            <w:tcW w:w="354" w:type="dxa"/>
            <w:vAlign w:val="center"/>
          </w:tcPr>
          <w:p w:rsidR="00DF44B4" w:rsidRDefault="00DF44B4">
            <w:pPr>
              <w:spacing w:before="40" w:after="40"/>
              <w:jc w:val="center"/>
            </w:pPr>
          </w:p>
        </w:tc>
        <w:tc>
          <w:tcPr>
            <w:tcW w:w="2520" w:type="dxa"/>
            <w:tcBorders>
              <w:top w:val="single" w:color="auto" w:sz="4" w:space="0"/>
              <w:left w:val="nil"/>
              <w:bottom w:val="nil"/>
              <w:right w:val="nil"/>
            </w:tcBorders>
            <w:vAlign w:val="center"/>
            <w:hideMark/>
          </w:tcPr>
          <w:p w:rsidR="00DF44B4" w:rsidRDefault="00DF44B4">
            <w:pPr>
              <w:jc w:val="center"/>
              <w:rPr>
                <w:b/>
                <w:bCs/>
                <w:sz w:val="28"/>
                <w:szCs w:val="28"/>
                <w:rtl/>
              </w:rPr>
            </w:pPr>
            <w:r>
              <w:rPr>
                <w:b/>
                <w:bCs/>
                <w:sz w:val="28"/>
                <w:szCs w:val="28"/>
                <w:rtl/>
              </w:rPr>
              <w:t>מיכאל שפיצר,</w:t>
            </w:r>
          </w:p>
          <w:p w:rsidR="00DF44B4" w:rsidRDefault="00DF44B4">
            <w:pPr>
              <w:jc w:val="center"/>
              <w:rPr>
                <w:b/>
                <w:bCs/>
                <w:sz w:val="28"/>
                <w:szCs w:val="28"/>
              </w:rPr>
            </w:pPr>
            <w:r>
              <w:rPr>
                <w:b/>
                <w:bCs/>
                <w:sz w:val="28"/>
                <w:szCs w:val="28"/>
                <w:rtl/>
              </w:rPr>
              <w:t>שופט</w:t>
            </w:r>
          </w:p>
        </w:tc>
      </w:tr>
    </w:tbl>
    <w:p w:rsidR="00DF44B4" w:rsidP="00DF44B4" w:rsidRDefault="00DF44B4">
      <w:pPr>
        <w:rPr>
          <w:noProof w:val="0"/>
          <w:rtl/>
        </w:rPr>
      </w:pPr>
    </w:p>
    <w:tbl>
      <w:tblPr>
        <w:tblStyle w:val="aa"/>
        <w:bidiVisual/>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1E0" w:firstRow="1" w:lastRow="1" w:firstColumn="1" w:lastColumn="1" w:noHBand="0" w:noVBand="0"/>
      </w:tblPr>
      <w:tblGrid>
        <w:gridCol w:w="3403"/>
        <w:gridCol w:w="1696"/>
        <w:gridCol w:w="3406"/>
      </w:tblGrid>
      <w:tr w:rsidR="00DF44B4" w:rsidTr="00DF44B4">
        <w:trPr>
          <w:trHeight w:val="550"/>
        </w:trPr>
        <w:tc>
          <w:tcPr>
            <w:tcW w:w="3408" w:type="dxa"/>
            <w:hideMark/>
          </w:tcPr>
          <w:tbl>
            <w:tblPr>
              <w:tblStyle w:val="aa"/>
              <w:bidiVisual/>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1E0" w:firstRow="1" w:lastRow="1" w:firstColumn="1" w:lastColumn="1" w:noHBand="0" w:noVBand="0"/>
            </w:tblPr>
            <w:tblGrid>
              <w:gridCol w:w="3187"/>
            </w:tblGrid>
            <w:tr w:rsidR="00DF44B4">
              <w:tc>
                <w:tcPr>
                  <w:tcW w:w="3194" w:type="dxa"/>
                  <w:tcBorders>
                    <w:top w:val="nil"/>
                    <w:left w:val="nil"/>
                    <w:bottom w:val="single" w:color="auto" w:sz="4" w:space="0"/>
                    <w:right w:val="nil"/>
                  </w:tcBorders>
                  <w:hideMark/>
                </w:tcPr>
                <w:p w:rsidR="00DF44B4" w:rsidRDefault="00DF44B4">
                  <w:pPr>
                    <w:jc w:val="center"/>
                    <w:rPr>
                      <w:rtl/>
                    </w:rPr>
                  </w:pPr>
                  <w:r>
                    <w:drawing>
                      <wp:inline distT="0" distB="0" distL="0" distR="0">
                        <wp:extent cx="1286510" cy="829310"/>
                        <wp:effectExtent l="0" t="0" r="8890" b="8890"/>
                        <wp:docPr id="8" name="תמונה 8" descr="010042950 שלמה כפי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010042950 שלמה כפיר"/>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86510" cy="829310"/>
                                </a:xfrm>
                                <a:prstGeom prst="rect">
                                  <a:avLst/>
                                </a:prstGeom>
                                <a:noFill/>
                                <a:ln>
                                  <a:noFill/>
                                </a:ln>
                              </pic:spPr>
                            </pic:pic>
                          </a:graphicData>
                        </a:graphic>
                      </wp:inline>
                    </w:drawing>
                  </w:r>
                </w:p>
              </w:tc>
            </w:tr>
            <w:tr w:rsidR="00DF44B4">
              <w:tc>
                <w:tcPr>
                  <w:tcW w:w="3194" w:type="dxa"/>
                  <w:tcBorders>
                    <w:top w:val="single" w:color="auto" w:sz="4" w:space="0"/>
                    <w:left w:val="nil"/>
                    <w:bottom w:val="nil"/>
                    <w:right w:val="nil"/>
                  </w:tcBorders>
                  <w:hideMark/>
                </w:tcPr>
                <w:p w:rsidR="00DF44B4" w:rsidRDefault="00DF44B4">
                  <w:pPr>
                    <w:jc w:val="center"/>
                    <w:rPr>
                      <w:b/>
                      <w:bCs/>
                      <w:sz w:val="28"/>
                      <w:szCs w:val="28"/>
                      <w:rtl/>
                    </w:rPr>
                  </w:pPr>
                  <w:r>
                    <w:rPr>
                      <w:b/>
                      <w:bCs/>
                      <w:sz w:val="28"/>
                      <w:szCs w:val="28"/>
                      <w:rtl/>
                    </w:rPr>
                    <w:t>מר שלמה כפיר,</w:t>
                  </w:r>
                </w:p>
                <w:p w:rsidR="00DF44B4" w:rsidRDefault="00DF44B4">
                  <w:pPr>
                    <w:jc w:val="center"/>
                    <w:rPr>
                      <w:b/>
                      <w:bCs/>
                      <w:rtl/>
                    </w:rPr>
                  </w:pPr>
                  <w:r>
                    <w:rPr>
                      <w:b/>
                      <w:bCs/>
                      <w:sz w:val="28"/>
                      <w:szCs w:val="28"/>
                      <w:rtl/>
                    </w:rPr>
                    <w:t>נציג ציבור (עובדים)</w:t>
                  </w:r>
                </w:p>
              </w:tc>
            </w:tr>
          </w:tbl>
          <w:p w:rsidR="00DF44B4" w:rsidRDefault="00DF44B4">
            <w:pPr>
              <w:rPr>
                <w:rtl/>
              </w:rPr>
            </w:pPr>
          </w:p>
        </w:tc>
        <w:tc>
          <w:tcPr>
            <w:tcW w:w="1704" w:type="dxa"/>
          </w:tcPr>
          <w:p w:rsidR="00DF44B4" w:rsidRDefault="00DF44B4">
            <w:pPr>
              <w:jc w:val="center"/>
              <w:rPr>
                <w:rtl/>
              </w:rPr>
            </w:pPr>
          </w:p>
        </w:tc>
        <w:tc>
          <w:tcPr>
            <w:tcW w:w="3410" w:type="dxa"/>
            <w:hideMark/>
          </w:tcPr>
          <w:tbl>
            <w:tblPr>
              <w:tblStyle w:val="aa"/>
              <w:bidiVisual/>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1E0" w:firstRow="1" w:lastRow="1" w:firstColumn="1" w:lastColumn="1" w:noHBand="0" w:noVBand="0"/>
            </w:tblPr>
            <w:tblGrid>
              <w:gridCol w:w="3190"/>
            </w:tblGrid>
            <w:tr w:rsidR="00DF44B4">
              <w:tc>
                <w:tcPr>
                  <w:tcW w:w="3194" w:type="dxa"/>
                  <w:tcBorders>
                    <w:top w:val="nil"/>
                    <w:left w:val="nil"/>
                    <w:bottom w:val="single" w:color="auto" w:sz="4" w:space="0"/>
                    <w:right w:val="nil"/>
                  </w:tcBorders>
                  <w:hideMark/>
                </w:tcPr>
                <w:p w:rsidR="00DF44B4" w:rsidRDefault="00DF44B4">
                  <w:pPr>
                    <w:jc w:val="center"/>
                    <w:rPr>
                      <w:rtl/>
                    </w:rPr>
                  </w:pPr>
                  <w:r>
                    <w:drawing>
                      <wp:inline distT="0" distB="0" distL="0" distR="0">
                        <wp:extent cx="1469390" cy="437515"/>
                        <wp:effectExtent l="0" t="0" r="0" b="635"/>
                        <wp:docPr id="7" name="תמונה 7" descr="050424142 דורון קמפל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050424142 דורון קמפלר"/>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69390" cy="437515"/>
                                </a:xfrm>
                                <a:prstGeom prst="rect">
                                  <a:avLst/>
                                </a:prstGeom>
                                <a:noFill/>
                                <a:ln>
                                  <a:noFill/>
                                </a:ln>
                              </pic:spPr>
                            </pic:pic>
                          </a:graphicData>
                        </a:graphic>
                      </wp:inline>
                    </w:drawing>
                  </w:r>
                </w:p>
              </w:tc>
            </w:tr>
            <w:tr w:rsidR="00DF44B4">
              <w:tc>
                <w:tcPr>
                  <w:tcW w:w="3194" w:type="dxa"/>
                  <w:tcBorders>
                    <w:top w:val="single" w:color="auto" w:sz="4" w:space="0"/>
                    <w:left w:val="nil"/>
                    <w:bottom w:val="nil"/>
                    <w:right w:val="nil"/>
                  </w:tcBorders>
                  <w:hideMark/>
                </w:tcPr>
                <w:p w:rsidR="00DF44B4" w:rsidRDefault="00DF44B4">
                  <w:pPr>
                    <w:jc w:val="center"/>
                    <w:rPr>
                      <w:b/>
                      <w:bCs/>
                      <w:sz w:val="28"/>
                      <w:szCs w:val="28"/>
                      <w:rtl/>
                    </w:rPr>
                  </w:pPr>
                  <w:r>
                    <w:rPr>
                      <w:b/>
                      <w:bCs/>
                      <w:sz w:val="28"/>
                      <w:szCs w:val="28"/>
                      <w:rtl/>
                    </w:rPr>
                    <w:t>מר דורון קמפלר,</w:t>
                  </w:r>
                </w:p>
                <w:p w:rsidR="00DF44B4" w:rsidRDefault="00DF44B4">
                  <w:pPr>
                    <w:jc w:val="center"/>
                    <w:rPr>
                      <w:b/>
                      <w:bCs/>
                      <w:rtl/>
                    </w:rPr>
                  </w:pPr>
                  <w:r>
                    <w:rPr>
                      <w:b/>
                      <w:bCs/>
                      <w:sz w:val="28"/>
                      <w:szCs w:val="28"/>
                      <w:rtl/>
                    </w:rPr>
                    <w:t>נציג ציבור (מעסיקים)</w:t>
                  </w:r>
                </w:p>
              </w:tc>
            </w:tr>
          </w:tbl>
          <w:p w:rsidR="00DF44B4" w:rsidRDefault="00DF44B4">
            <w:pPr>
              <w:rPr>
                <w:rtl/>
              </w:rPr>
            </w:pPr>
          </w:p>
        </w:tc>
      </w:tr>
    </w:tbl>
    <w:p w:rsidR="00DF44B4" w:rsidP="00DF44B4" w:rsidRDefault="00DF44B4">
      <w:pPr>
        <w:rPr>
          <w:rtl/>
        </w:rPr>
      </w:pPr>
    </w:p>
    <w:p w:rsidRPr="00DF44B4" w:rsidR="00774A13" w:rsidP="00DF44B4" w:rsidRDefault="00774A13">
      <w:pPr>
        <w:rPr>
          <w:rtl/>
        </w:rPr>
      </w:pPr>
      <w:bookmarkStart w:name="_GoBack" w:id="0"/>
      <w:bookmarkEnd w:id="0"/>
    </w:p>
    <w:sectPr w:rsidRPr="00DF44B4" w:rsidR="00774A13" w:rsidSect="00825839">
      <w:headerReference w:type="default" r:id="rId14"/>
      <w:footerReference w:type="default" r:id="rId15"/>
      <w:pgSz w:w="11907" w:h="16840" w:code="9"/>
      <w:pgMar w:top="720" w:right="1701" w:bottom="993" w:left="1701" w:header="720" w:footer="1019" w:gutter="0"/>
      <w:pgNumType w:fmt="numberInDash"/>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38A" w:rsidP="00B7738A" w:rsidRDefault="00B7738A">
    <w:pPr>
      <w:pStyle w:val="a4"/>
      <w:jc w:val="center"/>
      <w:rPr>
        <w:rStyle w:val="ac"/>
      </w:rPr>
    </w:pPr>
    <w:r>
      <w:rPr>
        <w:rStyle w:val="ac"/>
        <w:rtl/>
      </w:rPr>
      <w:fldChar w:fldCharType="begin"/>
    </w:r>
    <w:r>
      <w:rPr>
        <w:rStyle w:val="ac"/>
      </w:rPr>
      <w:instrText xml:space="preserve"> PAGE </w:instrText>
    </w:r>
    <w:r>
      <w:rPr>
        <w:rStyle w:val="ac"/>
        <w:rtl/>
      </w:rPr>
      <w:fldChar w:fldCharType="separate"/>
    </w:r>
    <w:r w:rsidR="0014324E">
      <w:rPr>
        <w:rStyle w:val="ac"/>
        <w:rtl/>
      </w:rPr>
      <w:t>- 28 -</w:t>
    </w:r>
    <w:r>
      <w:rPr>
        <w:rStyle w:val="ac"/>
        <w:rtl/>
      </w:rPr>
      <w:fldChar w:fldCharType="end"/>
    </w:r>
    <w:r>
      <w:rPr>
        <w:rStyle w:val="ac"/>
        <w:rFonts w:hint="cs"/>
        <w:rtl/>
      </w:rPr>
      <w:t xml:space="preserve"> מתוך </w:t>
    </w:r>
    <w:r>
      <w:rPr>
        <w:rStyle w:val="ac"/>
        <w:rtl/>
      </w:rPr>
      <w:fldChar w:fldCharType="begin"/>
    </w:r>
    <w:r>
      <w:rPr>
        <w:rStyle w:val="ac"/>
      </w:rPr>
      <w:instrText xml:space="preserve"> NUMPAGES </w:instrText>
    </w:r>
    <w:r>
      <w:rPr>
        <w:rStyle w:val="ac"/>
        <w:rtl/>
      </w:rPr>
      <w:fldChar w:fldCharType="separate"/>
    </w:r>
    <w:r w:rsidR="0014324E">
      <w:rPr>
        <w:rStyle w:val="ac"/>
        <w:rtl/>
      </w:rPr>
      <w:t>28</w:t>
    </w:r>
    <w:r>
      <w:rPr>
        <w:rStyle w:val="ac"/>
        <w:rtl/>
      </w:rPr>
      <w:fldChar w:fldCharType="end"/>
    </w:r>
  </w:p>
  <w:p w:rsidRPr="004E6E3C" w:rsidR="00694556" w:rsidRDefault="00694556">
    <w:pPr>
      <w:pStyle w:val="a4"/>
      <w:jc w:val="center"/>
      <w:rPr>
        <w:rStyle w:val="ac"/>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 w:id="1">
    <w:p w:rsidR="00DF44B4" w:rsidP="00DF44B4" w:rsidRDefault="00DF44B4">
      <w:pPr>
        <w:pStyle w:val="ae"/>
      </w:pPr>
      <w:r>
        <w:rPr>
          <w:rStyle w:val="af0"/>
        </w:rPr>
        <w:footnoteRef/>
      </w:r>
      <w:r>
        <w:rPr>
          <w:rFonts w:hint="cs"/>
          <w:rtl/>
        </w:rPr>
        <w:t xml:space="preserve"> על פי החלטה מיום 26.10.2021 נציג הציבור מר דורון קופלר החליף את מר גדעון צימרמן אשר סיים את כהונתו. </w:t>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4324E">
    <w:pPr>
      <w:pStyle w:val="a3"/>
      <w:jc w:val="center"/>
      <w:rPr>
        <w:rFonts w:cs="FrankRuehl"/>
        <w:noProof w:val="0"/>
        <w:sz w:val="28"/>
        <w:szCs w:val="28"/>
        <w:rtl/>
      </w:rPr>
    </w:pPr>
    <w:r>
      <w:rPr>
        <w:rFonts w:cs="FrankRuehl"/>
        <w:sz w:val="28"/>
        <w:szCs w:val="28"/>
        <w:rtl/>
      </w:rPr>
    </w:r>
    <w:r w:rsidR="003D7562">
      <w:rPr>
        <w:rFonts w:cs="FrankRuehl"/>
        <w:sz w:val="28"/>
        <w:szCs w:val="28"/>
      </w:rPr>
      <w:drawing>
        <wp:inline distT="0" distB="0" distL="0" distR="0" wp14:anchorId="57A1EB01" wp14:editId="79C17561">
          <wp:extent cx="371475" cy="466725"/>
          <wp:effectExtent l="0" t="0" r="9525" b="952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002"/>
      <w:gridCol w:w="4503"/>
    </w:tblGrid>
    <w:tr w:rsidR="00694556">
      <w:trPr>
        <w:trHeight w:val="418" w:hRule="exact"/>
        <w:jc w:val="center"/>
      </w:trPr>
      <w:tc>
        <w:tcPr>
          <w:tcW w:w="8721" w:type="dxa"/>
          <w:gridSpan w:val="2"/>
        </w:tcPr>
        <w:p w:rsidRPr="00254FE8" w:rsidR="00694556" w:rsidRDefault="0014324E">
          <w:pPr>
            <w:pStyle w:val="a3"/>
            <w:jc w:val="center"/>
            <w:rPr>
              <w:rFonts w:ascii="Tahoma" w:hAnsi="Tahoma"/>
              <w:noProof w:val="0"/>
              <w:color w:val="000080"/>
              <w:sz w:val="36"/>
              <w:szCs w:val="36"/>
              <w:rtl/>
            </w:rPr>
          </w:pPr>
          <w:sdt>
            <w:sdtPr>
              <w:rPr>
                <w:sz w:val="36"/>
                <w:szCs w:val="36"/>
                <w:rtl/>
              </w:rPr>
              <w:alias w:val="1174"/>
              <w:tag w:val="1174"/>
              <w:id w:val="1472562602"/>
              <w:text w:multiLine="1"/>
            </w:sdtPr>
            <w:sdtEndPr/>
            <w:sdtContent>
              <w:r w:rsidR="00127531">
                <w:rPr>
                  <w:rFonts w:ascii="Tahoma" w:hAnsi="Tahoma"/>
                  <w:b/>
                  <w:bCs/>
                  <w:noProof w:val="0"/>
                  <w:color w:val="000080"/>
                  <w:sz w:val="36"/>
                  <w:szCs w:val="36"/>
                  <w:rtl/>
                </w:rPr>
                <w:t>בית הדין הארצי לעבודה</w:t>
              </w:r>
            </w:sdtContent>
          </w:sdt>
        </w:p>
      </w:tc>
    </w:tr>
    <w:tr w:rsidR="00694556" w:rsidTr="009031E2">
      <w:trPr>
        <w:trHeight w:val="337"/>
        <w:jc w:val="center"/>
      </w:trPr>
      <w:tc>
        <w:tcPr>
          <w:tcW w:w="4113" w:type="dxa"/>
        </w:tcPr>
        <w:p w:rsidR="00694556" w:rsidRDefault="00694556">
          <w:pPr>
            <w:rPr>
              <w:b/>
              <w:bCs/>
              <w:noProof w:val="0"/>
              <w:sz w:val="26"/>
              <w:szCs w:val="26"/>
              <w:rtl/>
            </w:rPr>
          </w:pPr>
        </w:p>
      </w:tc>
      <w:tc>
        <w:tcPr>
          <w:tcW w:w="4608" w:type="dxa"/>
        </w:tcPr>
        <w:p w:rsidRPr="00774A13" w:rsidR="00774A13" w:rsidP="00775280" w:rsidRDefault="00774A13">
          <w:pPr>
            <w:jc w:val="right"/>
            <w:rPr>
              <w:b/>
              <w:bCs/>
              <w:sz w:val="28"/>
              <w:szCs w:val="28"/>
              <w:u w:val="single"/>
              <w:rtl/>
            </w:rPr>
          </w:pPr>
          <w:r w:rsidRPr="00774A13">
            <w:rPr>
              <w:rFonts w:hint="cs"/>
              <w:b/>
              <w:bCs/>
              <w:sz w:val="28"/>
              <w:szCs w:val="28"/>
              <w:u w:val="single"/>
              <w:rtl/>
            </w:rPr>
            <w:t>עב"ל 6070-04-20</w:t>
          </w:r>
        </w:p>
        <w:p w:rsidRPr="00774A13" w:rsidR="00FB3C97" w:rsidP="00775280" w:rsidRDefault="0014324E">
          <w:pPr>
            <w:jc w:val="right"/>
            <w:rPr>
              <w:b/>
              <w:bCs/>
              <w:noProof w:val="0"/>
              <w:sz w:val="28"/>
              <w:szCs w:val="28"/>
              <w:u w:val="single"/>
              <w:rtl/>
            </w:rPr>
          </w:pPr>
          <w:sdt>
            <w:sdtPr>
              <w:rPr>
                <w:b/>
                <w:bCs/>
                <w:sz w:val="28"/>
                <w:szCs w:val="28"/>
                <w:u w:val="single"/>
                <w:rtl/>
              </w:rPr>
              <w:alias w:val="1170"/>
              <w:tag w:val="1170"/>
              <w:id w:val="456456661"/>
              <w:text w:multiLine="1"/>
            </w:sdtPr>
            <w:sdtEndPr/>
            <w:sdtContent>
              <w:r w:rsidRPr="00774A13" w:rsidR="00127531">
                <w:rPr>
                  <w:b/>
                  <w:bCs/>
                  <w:noProof w:val="0"/>
                  <w:sz w:val="28"/>
                  <w:szCs w:val="28"/>
                  <w:u w:val="single"/>
                  <w:rtl/>
                </w:rPr>
                <w:t>עב"ל</w:t>
              </w:r>
            </w:sdtContent>
          </w:sdt>
          <w:r w:rsidRPr="00774A13" w:rsidR="00FB3C97">
            <w:rPr>
              <w:b/>
              <w:bCs/>
              <w:noProof w:val="0"/>
              <w:sz w:val="28"/>
              <w:szCs w:val="28"/>
              <w:u w:val="single"/>
              <w:rtl/>
            </w:rPr>
            <w:t xml:space="preserve"> </w:t>
          </w:r>
          <w:sdt>
            <w:sdtPr>
              <w:rPr>
                <w:b/>
                <w:bCs/>
                <w:sz w:val="28"/>
                <w:szCs w:val="28"/>
                <w:u w:val="single"/>
                <w:rtl/>
              </w:rPr>
              <w:alias w:val="1171"/>
              <w:tag w:val="1171"/>
              <w:id w:val="-1139106524"/>
              <w:text w:multiLine="1"/>
            </w:sdtPr>
            <w:sdtEndPr/>
            <w:sdtContent>
              <w:r w:rsidRPr="00774A13" w:rsidR="00127531">
                <w:rPr>
                  <w:b/>
                  <w:bCs/>
                  <w:noProof w:val="0"/>
                  <w:sz w:val="28"/>
                  <w:szCs w:val="28"/>
                  <w:u w:val="single"/>
                  <w:rtl/>
                </w:rPr>
                <w:t>25076-04-20</w:t>
              </w:r>
            </w:sdtContent>
          </w:sdt>
          <w:r w:rsidRPr="00774A13" w:rsidR="00FB3C97">
            <w:rPr>
              <w:b/>
              <w:bCs/>
              <w:noProof w:val="0"/>
              <w:sz w:val="28"/>
              <w:szCs w:val="28"/>
              <w:u w:val="single"/>
              <w:rtl/>
            </w:rPr>
            <w:t xml:space="preserve"> </w:t>
          </w:r>
        </w:p>
        <w:p w:rsidR="00C22478" w:rsidP="009B78E1" w:rsidRDefault="00C22478">
          <w:pPr>
            <w:jc w:val="right"/>
            <w:rPr>
              <w:sz w:val="28"/>
              <w:szCs w:val="28"/>
              <w:rtl/>
            </w:rPr>
          </w:pPr>
        </w:p>
        <w:p w:rsidR="00DB3E2B" w:rsidRDefault="00DB3E2B">
          <w:pPr>
            <w:jc w:val="right"/>
            <w:rPr>
              <w:sz w:val="28"/>
              <w:szCs w:val="28"/>
              <w:rtl/>
            </w:rPr>
          </w:pP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4E4A82"/>
    <w:multiLevelType w:val="multilevel"/>
    <w:tmpl w:val="BA8E8A4E"/>
    <w:lvl w:ilvl="0">
      <w:start w:val="1"/>
      <w:numFmt w:val="decimal"/>
      <w:lvlText w:val="%1."/>
      <w:lvlJc w:val="left"/>
      <w:pPr>
        <w:ind w:left="360" w:hanging="360"/>
      </w:pPr>
      <w:rPr>
        <w:rFonts w:ascii="David" w:hAnsi="David" w:cs="David" w:hint="default"/>
        <w:b w:val="0"/>
        <w:bCs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defaultTabStop w:val="720"/>
  <w:characterSpacingControl w:val="doNotCompress"/>
  <w:hdrShapeDefaults>
    <o:shapedefaults v:ext="edit" spidmax="156674"/>
    <o:shapelayout v:ext="edit">
      <o:idmap v:ext="edit" data="15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6C35"/>
    <w:rsid w:val="000314CF"/>
    <w:rsid w:val="000346F5"/>
    <w:rsid w:val="00046394"/>
    <w:rsid w:val="000564AB"/>
    <w:rsid w:val="000D6444"/>
    <w:rsid w:val="000E0988"/>
    <w:rsid w:val="000E179E"/>
    <w:rsid w:val="000E59D6"/>
    <w:rsid w:val="000F4B20"/>
    <w:rsid w:val="00127531"/>
    <w:rsid w:val="0014234E"/>
    <w:rsid w:val="0014324E"/>
    <w:rsid w:val="0015579A"/>
    <w:rsid w:val="0017393D"/>
    <w:rsid w:val="001C2016"/>
    <w:rsid w:val="001C2611"/>
    <w:rsid w:val="001C4003"/>
    <w:rsid w:val="001C7B47"/>
    <w:rsid w:val="001E7FE1"/>
    <w:rsid w:val="001F273A"/>
    <w:rsid w:val="00254FE8"/>
    <w:rsid w:val="00271A7E"/>
    <w:rsid w:val="002A1F3D"/>
    <w:rsid w:val="002F340F"/>
    <w:rsid w:val="00306A04"/>
    <w:rsid w:val="00325946"/>
    <w:rsid w:val="003365EA"/>
    <w:rsid w:val="003915DF"/>
    <w:rsid w:val="003A7B9A"/>
    <w:rsid w:val="003D3CAA"/>
    <w:rsid w:val="003D7562"/>
    <w:rsid w:val="00427A49"/>
    <w:rsid w:val="00456511"/>
    <w:rsid w:val="00491DCD"/>
    <w:rsid w:val="004A1DE9"/>
    <w:rsid w:val="004D1E3B"/>
    <w:rsid w:val="004E5E6E"/>
    <w:rsid w:val="004E6E3C"/>
    <w:rsid w:val="004F62EA"/>
    <w:rsid w:val="00507311"/>
    <w:rsid w:val="00543B57"/>
    <w:rsid w:val="00544A13"/>
    <w:rsid w:val="00547DB7"/>
    <w:rsid w:val="00586297"/>
    <w:rsid w:val="005A0A91"/>
    <w:rsid w:val="005F41B6"/>
    <w:rsid w:val="00622BAA"/>
    <w:rsid w:val="00625C89"/>
    <w:rsid w:val="00671BD5"/>
    <w:rsid w:val="00672E38"/>
    <w:rsid w:val="006805C1"/>
    <w:rsid w:val="00686EEC"/>
    <w:rsid w:val="006908E7"/>
    <w:rsid w:val="00694556"/>
    <w:rsid w:val="006B325C"/>
    <w:rsid w:val="006E1A53"/>
    <w:rsid w:val="0070039F"/>
    <w:rsid w:val="007056AA"/>
    <w:rsid w:val="00733B24"/>
    <w:rsid w:val="007437DC"/>
    <w:rsid w:val="0074595E"/>
    <w:rsid w:val="00751245"/>
    <w:rsid w:val="00766B1B"/>
    <w:rsid w:val="00771907"/>
    <w:rsid w:val="00774A13"/>
    <w:rsid w:val="00775280"/>
    <w:rsid w:val="00785C02"/>
    <w:rsid w:val="007A24FE"/>
    <w:rsid w:val="007F4236"/>
    <w:rsid w:val="00820005"/>
    <w:rsid w:val="00825839"/>
    <w:rsid w:val="00846D27"/>
    <w:rsid w:val="00862B30"/>
    <w:rsid w:val="008B48B6"/>
    <w:rsid w:val="008C4C23"/>
    <w:rsid w:val="008C69FC"/>
    <w:rsid w:val="008F11C2"/>
    <w:rsid w:val="009031E2"/>
    <w:rsid w:val="00903896"/>
    <w:rsid w:val="00913B04"/>
    <w:rsid w:val="00914B2D"/>
    <w:rsid w:val="00923D9A"/>
    <w:rsid w:val="00930480"/>
    <w:rsid w:val="009368F7"/>
    <w:rsid w:val="0096689A"/>
    <w:rsid w:val="009B2249"/>
    <w:rsid w:val="009B78E1"/>
    <w:rsid w:val="009C18B5"/>
    <w:rsid w:val="009C3D76"/>
    <w:rsid w:val="009D4CA0"/>
    <w:rsid w:val="009E0263"/>
    <w:rsid w:val="00A14157"/>
    <w:rsid w:val="00A41392"/>
    <w:rsid w:val="00A6750C"/>
    <w:rsid w:val="00AA3149"/>
    <w:rsid w:val="00AF1ED6"/>
    <w:rsid w:val="00AF7C98"/>
    <w:rsid w:val="00B27F83"/>
    <w:rsid w:val="00B7738A"/>
    <w:rsid w:val="00B80CBD"/>
    <w:rsid w:val="00BA6A16"/>
    <w:rsid w:val="00BA7F5D"/>
    <w:rsid w:val="00BC3369"/>
    <w:rsid w:val="00BC3C8F"/>
    <w:rsid w:val="00BC3F9C"/>
    <w:rsid w:val="00C13D9D"/>
    <w:rsid w:val="00C21AB0"/>
    <w:rsid w:val="00C22478"/>
    <w:rsid w:val="00C238ED"/>
    <w:rsid w:val="00C44631"/>
    <w:rsid w:val="00C46049"/>
    <w:rsid w:val="00C52C2A"/>
    <w:rsid w:val="00C8295E"/>
    <w:rsid w:val="00CA136D"/>
    <w:rsid w:val="00CC3C2E"/>
    <w:rsid w:val="00D13025"/>
    <w:rsid w:val="00D31948"/>
    <w:rsid w:val="00D45738"/>
    <w:rsid w:val="00D46BBB"/>
    <w:rsid w:val="00D529FC"/>
    <w:rsid w:val="00D53924"/>
    <w:rsid w:val="00D5682D"/>
    <w:rsid w:val="00D8555D"/>
    <w:rsid w:val="00D96D8C"/>
    <w:rsid w:val="00DB3E2B"/>
    <w:rsid w:val="00DE4C8F"/>
    <w:rsid w:val="00DF4090"/>
    <w:rsid w:val="00DF44B4"/>
    <w:rsid w:val="00E408A9"/>
    <w:rsid w:val="00E54573"/>
    <w:rsid w:val="00E54642"/>
    <w:rsid w:val="00E97908"/>
    <w:rsid w:val="00F01A95"/>
    <w:rsid w:val="00F05BAE"/>
    <w:rsid w:val="00F24FC8"/>
    <w:rsid w:val="00F646D7"/>
    <w:rsid w:val="00F76256"/>
    <w:rsid w:val="00F9168F"/>
    <w:rsid w:val="00F974FE"/>
    <w:rsid w:val="00FB30CA"/>
    <w:rsid w:val="00FB3C97"/>
    <w:rsid w:val="00FD36BF"/>
    <w:rsid w:val="00FF6278"/>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56674"/>
    <o:shapelayout v:ext="edit">
      <o:idmap v:ext="edit" data="1"/>
    </o:shapelayout>
  </w:shapeDefaults>
  <w:decimalSymbol w:val="."/>
  <w:listSeparator w:val=","/>
  <w15:docId w15:val="{7F0FDD16-A2EB-46A2-BD87-6E213BD2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link w:val="a5"/>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כותרת תחתונה תו"/>
    <w:basedOn w:val="a0"/>
    <w:link w:val="a4"/>
    <w:rsid w:val="00491DCD"/>
    <w:rPr>
      <w:rFonts w:cs="David"/>
      <w:noProof/>
      <w:sz w:val="24"/>
      <w:szCs w:val="24"/>
    </w:rPr>
  </w:style>
  <w:style w:type="character" w:styleId="ad">
    <w:name w:val="Placeholder Text"/>
    <w:basedOn w:val="a0"/>
    <w:uiPriority w:val="99"/>
    <w:semiHidden/>
    <w:rsid w:val="00D13025"/>
    <w:rPr>
      <w:color w:val="808080"/>
    </w:rPr>
  </w:style>
  <w:style w:type="paragraph" w:styleId="ae">
    <w:name w:val="footnote text"/>
    <w:basedOn w:val="a"/>
    <w:link w:val="af"/>
    <w:uiPriority w:val="99"/>
    <w:semiHidden/>
    <w:unhideWhenUsed/>
    <w:rsid w:val="00774A13"/>
    <w:rPr>
      <w:rFonts w:ascii="David" w:hAnsi="David"/>
      <w:noProof w:val="0"/>
      <w:sz w:val="20"/>
      <w:szCs w:val="20"/>
    </w:rPr>
  </w:style>
  <w:style w:type="character" w:customStyle="1" w:styleId="af">
    <w:name w:val="טקסט הערת שוליים תו"/>
    <w:basedOn w:val="a0"/>
    <w:link w:val="ae"/>
    <w:uiPriority w:val="99"/>
    <w:semiHidden/>
    <w:rsid w:val="00774A13"/>
    <w:rPr>
      <w:rFonts w:ascii="David" w:hAnsi="David" w:cs="David"/>
    </w:rPr>
  </w:style>
  <w:style w:type="character" w:styleId="af0">
    <w:name w:val="footnote reference"/>
    <w:basedOn w:val="a0"/>
    <w:uiPriority w:val="99"/>
    <w:semiHidden/>
    <w:unhideWhenUsed/>
    <w:rsid w:val="00774A13"/>
    <w:rPr>
      <w:rFonts w:ascii="Times New Roman" w:hAnsi="Times New Roman" w:cs="Times New Roman" w:hint="default"/>
      <w:noProof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832230">
      <w:bodyDiv w:val="1"/>
      <w:marLeft w:val="0"/>
      <w:marRight w:val="0"/>
      <w:marTop w:val="0"/>
      <w:marBottom w:val="0"/>
      <w:divBdr>
        <w:top w:val="none" w:sz="0" w:space="0" w:color="auto"/>
        <w:left w:val="none" w:sz="0" w:space="0" w:color="auto"/>
        <w:bottom w:val="none" w:sz="0" w:space="0" w:color="auto"/>
        <w:right w:val="none" w:sz="0" w:space="0" w:color="auto"/>
      </w:divBdr>
    </w:div>
    <w:div w:id="408817309">
      <w:bodyDiv w:val="1"/>
      <w:marLeft w:val="0"/>
      <w:marRight w:val="0"/>
      <w:marTop w:val="0"/>
      <w:marBottom w:val="0"/>
      <w:divBdr>
        <w:top w:val="none" w:sz="0" w:space="0" w:color="auto"/>
        <w:left w:val="none" w:sz="0" w:space="0" w:color="auto"/>
        <w:bottom w:val="none" w:sz="0" w:space="0" w:color="auto"/>
        <w:right w:val="none" w:sz="0" w:space="0" w:color="auto"/>
      </w:divBdr>
    </w:div>
    <w:div w:id="420104477">
      <w:bodyDiv w:val="1"/>
      <w:marLeft w:val="0"/>
      <w:marRight w:val="0"/>
      <w:marTop w:val="0"/>
      <w:marBottom w:val="0"/>
      <w:divBdr>
        <w:top w:val="none" w:sz="0" w:space="0" w:color="auto"/>
        <w:left w:val="none" w:sz="0" w:space="0" w:color="auto"/>
        <w:bottom w:val="none" w:sz="0" w:space="0" w:color="auto"/>
        <w:right w:val="none" w:sz="0" w:space="0" w:color="auto"/>
      </w:divBdr>
    </w:div>
    <w:div w:id="484974467">
      <w:bodyDiv w:val="1"/>
      <w:marLeft w:val="0"/>
      <w:marRight w:val="0"/>
      <w:marTop w:val="0"/>
      <w:marBottom w:val="0"/>
      <w:divBdr>
        <w:top w:val="none" w:sz="0" w:space="0" w:color="auto"/>
        <w:left w:val="none" w:sz="0" w:space="0" w:color="auto"/>
        <w:bottom w:val="none" w:sz="0" w:space="0" w:color="auto"/>
        <w:right w:val="none" w:sz="0" w:space="0" w:color="auto"/>
      </w:divBdr>
    </w:div>
    <w:div w:id="730080343">
      <w:bodyDiv w:val="1"/>
      <w:marLeft w:val="0"/>
      <w:marRight w:val="0"/>
      <w:marTop w:val="0"/>
      <w:marBottom w:val="0"/>
      <w:divBdr>
        <w:top w:val="none" w:sz="0" w:space="0" w:color="auto"/>
        <w:left w:val="none" w:sz="0" w:space="0" w:color="auto"/>
        <w:bottom w:val="none" w:sz="0" w:space="0" w:color="auto"/>
        <w:right w:val="none" w:sz="0" w:space="0" w:color="auto"/>
      </w:divBdr>
    </w:div>
    <w:div w:id="782186326">
      <w:bodyDiv w:val="1"/>
      <w:marLeft w:val="0"/>
      <w:marRight w:val="0"/>
      <w:marTop w:val="0"/>
      <w:marBottom w:val="0"/>
      <w:divBdr>
        <w:top w:val="none" w:sz="0" w:space="0" w:color="auto"/>
        <w:left w:val="none" w:sz="0" w:space="0" w:color="auto"/>
        <w:bottom w:val="none" w:sz="0" w:space="0" w:color="auto"/>
        <w:right w:val="none" w:sz="0" w:space="0" w:color="auto"/>
      </w:divBdr>
    </w:div>
    <w:div w:id="848065053">
      <w:bodyDiv w:val="1"/>
      <w:marLeft w:val="0"/>
      <w:marRight w:val="0"/>
      <w:marTop w:val="0"/>
      <w:marBottom w:val="0"/>
      <w:divBdr>
        <w:top w:val="none" w:sz="0" w:space="0" w:color="auto"/>
        <w:left w:val="none" w:sz="0" w:space="0" w:color="auto"/>
        <w:bottom w:val="none" w:sz="0" w:space="0" w:color="auto"/>
        <w:right w:val="none" w:sz="0" w:space="0" w:color="auto"/>
      </w:divBdr>
    </w:div>
    <w:div w:id="1087925752">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09162536">
      <w:bodyDiv w:val="1"/>
      <w:marLeft w:val="0"/>
      <w:marRight w:val="0"/>
      <w:marTop w:val="0"/>
      <w:marBottom w:val="0"/>
      <w:divBdr>
        <w:top w:val="none" w:sz="0" w:space="0" w:color="auto"/>
        <w:left w:val="none" w:sz="0" w:space="0" w:color="auto"/>
        <w:bottom w:val="none" w:sz="0" w:space="0" w:color="auto"/>
        <w:right w:val="none" w:sz="0" w:space="0" w:color="auto"/>
      </w:divBdr>
    </w:div>
    <w:div w:id="1335375543">
      <w:bodyDiv w:val="1"/>
      <w:marLeft w:val="0"/>
      <w:marRight w:val="0"/>
      <w:marTop w:val="0"/>
      <w:marBottom w:val="0"/>
      <w:divBdr>
        <w:top w:val="none" w:sz="0" w:space="0" w:color="auto"/>
        <w:left w:val="none" w:sz="0" w:space="0" w:color="auto"/>
        <w:bottom w:val="none" w:sz="0" w:space="0" w:color="auto"/>
        <w:right w:val="none" w:sz="0" w:space="0" w:color="auto"/>
      </w:divBdr>
    </w:div>
    <w:div w:id="1399862062">
      <w:bodyDiv w:val="1"/>
      <w:marLeft w:val="0"/>
      <w:marRight w:val="0"/>
      <w:marTop w:val="0"/>
      <w:marBottom w:val="0"/>
      <w:divBdr>
        <w:top w:val="none" w:sz="0" w:space="0" w:color="auto"/>
        <w:left w:val="none" w:sz="0" w:space="0" w:color="auto"/>
        <w:bottom w:val="none" w:sz="0" w:space="0" w:color="auto"/>
        <w:right w:val="none" w:sz="0" w:space="0" w:color="auto"/>
      </w:divBdr>
    </w:div>
    <w:div w:id="1419786576">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57148224">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4602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png"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image" Target="media/image4.png" Id="rId12" /><Relationship Type="http://schemas.openxmlformats.org/officeDocument/2006/relationships/glossaryDocument" Target="glossary/document.xml" Id="rId17" /><Relationship Type="http://schemas.openxmlformats.org/officeDocument/2006/relationships/fontTable" Target="fontTable.xml" Id="rId16" /><Relationship Type="http://schemas.microsoft.com/office/2006/relationships/keyMapCustomizations" Target="customizations.xml" Id="rId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footer" Target="footer1.xml" Id="rId15" /><Relationship Type="http://schemas.openxmlformats.org/officeDocument/2006/relationships/image" Target="media/image2.emf"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8E40D848E6B4B77A84754D2F558E508"/>
        <w:category>
          <w:name w:val="כללי"/>
          <w:gallery w:val="placeholder"/>
        </w:category>
        <w:types>
          <w:type w:val="bbPlcHdr"/>
        </w:types>
        <w:behaviors>
          <w:behavior w:val="content"/>
        </w:behaviors>
        <w:guid w:val="{1B41E524-8C32-4322-8F00-886BE118C1CE}"/>
      </w:docPartPr>
      <w:docPartBody>
        <w:p w:rsidR="00000000" w:rsidRDefault="00C56011" w:rsidP="00C56011">
          <w:pPr>
            <w:pStyle w:val="48E40D848E6B4B77A84754D2F558E508"/>
          </w:pPr>
          <w:r>
            <w:rPr>
              <w:rStyle w:val="a3"/>
              <w:b/>
              <w:bCs/>
              <w:sz w:val="26"/>
              <w:szCs w:val="26"/>
              <w:rtl/>
            </w:rPr>
            <w:t>תאריך היום לועזי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E9E"/>
    <w:rsid w:val="0005798D"/>
    <w:rsid w:val="0015524C"/>
    <w:rsid w:val="00196E31"/>
    <w:rsid w:val="00285F3F"/>
    <w:rsid w:val="003B1969"/>
    <w:rsid w:val="003E24AE"/>
    <w:rsid w:val="004B6AEA"/>
    <w:rsid w:val="00642001"/>
    <w:rsid w:val="009471B2"/>
    <w:rsid w:val="00BB1113"/>
    <w:rsid w:val="00BE5E9E"/>
    <w:rsid w:val="00C4141B"/>
    <w:rsid w:val="00C56011"/>
    <w:rsid w:val="00D5460F"/>
    <w:rsid w:val="00D730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56011"/>
  </w:style>
  <w:style w:type="paragraph" w:customStyle="1" w:styleId="93548AE70E8A4AAEAE945C1D50EBA813">
    <w:name w:val="93548AE70E8A4AAEAE945C1D50EBA813"/>
    <w:rsid w:val="00BE5E9E"/>
    <w:pPr>
      <w:bidi/>
    </w:pPr>
  </w:style>
  <w:style w:type="paragraph" w:customStyle="1" w:styleId="E5FAA607A0A6472E9A0C0FD5EA09C787">
    <w:name w:val="E5FAA607A0A6472E9A0C0FD5EA09C787"/>
    <w:rsid w:val="00196E31"/>
    <w:pPr>
      <w:bidi/>
      <w:spacing w:after="0" w:line="240" w:lineRule="auto"/>
    </w:pPr>
    <w:rPr>
      <w:rFonts w:ascii="Times New Roman" w:eastAsia="Times New Roman" w:hAnsi="Times New Roman" w:cs="David"/>
      <w:noProof/>
      <w:sz w:val="24"/>
      <w:szCs w:val="24"/>
    </w:rPr>
  </w:style>
  <w:style w:type="paragraph" w:customStyle="1" w:styleId="382B874EFBD04788A749AE4544F12E5C">
    <w:name w:val="382B874EFBD04788A749AE4544F12E5C"/>
    <w:rsid w:val="00196E31"/>
    <w:pPr>
      <w:bidi/>
      <w:spacing w:after="0" w:line="240" w:lineRule="auto"/>
    </w:pPr>
    <w:rPr>
      <w:rFonts w:ascii="Times New Roman" w:eastAsia="Times New Roman" w:hAnsi="Times New Roman" w:cs="David"/>
      <w:noProof/>
      <w:sz w:val="24"/>
      <w:szCs w:val="24"/>
    </w:rPr>
  </w:style>
  <w:style w:type="paragraph" w:customStyle="1" w:styleId="6E5CCD4DB6BB447B8383D806E977B932">
    <w:name w:val="6E5CCD4DB6BB447B8383D806E977B932"/>
    <w:rsid w:val="00D5460F"/>
    <w:pPr>
      <w:bidi/>
      <w:spacing w:after="0" w:line="240" w:lineRule="auto"/>
    </w:pPr>
    <w:rPr>
      <w:rFonts w:ascii="Times New Roman" w:eastAsia="Times New Roman" w:hAnsi="Times New Roman" w:cs="David"/>
      <w:noProof/>
      <w:sz w:val="24"/>
      <w:szCs w:val="24"/>
    </w:rPr>
  </w:style>
  <w:style w:type="paragraph" w:customStyle="1" w:styleId="1EA141613703416981E1682506ED1C57">
    <w:name w:val="1EA141613703416981E1682506ED1C57"/>
    <w:rsid w:val="00D5460F"/>
    <w:pPr>
      <w:bidi/>
      <w:spacing w:after="0" w:line="240" w:lineRule="auto"/>
    </w:pPr>
    <w:rPr>
      <w:rFonts w:ascii="Times New Roman" w:eastAsia="Times New Roman" w:hAnsi="Times New Roman" w:cs="David"/>
      <w:noProof/>
      <w:sz w:val="24"/>
      <w:szCs w:val="24"/>
    </w:rPr>
  </w:style>
  <w:style w:type="paragraph" w:customStyle="1" w:styleId="ADDC038CFDCE4D4EA21651546ECB982A">
    <w:name w:val="ADDC038CFDCE4D4EA21651546ECB982A"/>
    <w:rsid w:val="00D5460F"/>
    <w:pPr>
      <w:bidi/>
      <w:spacing w:after="0" w:line="240" w:lineRule="auto"/>
    </w:pPr>
    <w:rPr>
      <w:rFonts w:ascii="Times New Roman" w:eastAsia="Times New Roman" w:hAnsi="Times New Roman" w:cs="David"/>
      <w:noProof/>
      <w:sz w:val="24"/>
      <w:szCs w:val="24"/>
    </w:rPr>
  </w:style>
  <w:style w:type="paragraph" w:customStyle="1" w:styleId="6E5CCD4DB6BB447B8383D806E977B9321">
    <w:name w:val="6E5CCD4DB6BB447B8383D806E977B9321"/>
    <w:rsid w:val="00C4141B"/>
    <w:pPr>
      <w:bidi/>
      <w:spacing w:after="0" w:line="240" w:lineRule="auto"/>
    </w:pPr>
    <w:rPr>
      <w:rFonts w:ascii="Times New Roman" w:eastAsia="Times New Roman" w:hAnsi="Times New Roman" w:cs="David"/>
      <w:noProof/>
      <w:sz w:val="24"/>
      <w:szCs w:val="24"/>
    </w:rPr>
  </w:style>
  <w:style w:type="paragraph" w:customStyle="1" w:styleId="8FC68A5BD54A4968B0A5CDB8A6C11C11">
    <w:name w:val="8FC68A5BD54A4968B0A5CDB8A6C11C11"/>
    <w:rsid w:val="00C4141B"/>
    <w:pPr>
      <w:bidi/>
      <w:spacing w:after="0" w:line="240" w:lineRule="auto"/>
    </w:pPr>
    <w:rPr>
      <w:rFonts w:ascii="Times New Roman" w:eastAsia="Times New Roman" w:hAnsi="Times New Roman" w:cs="David"/>
      <w:noProof/>
      <w:sz w:val="24"/>
      <w:szCs w:val="24"/>
    </w:rPr>
  </w:style>
  <w:style w:type="paragraph" w:customStyle="1" w:styleId="85A87045BA9A416AB50E290F291A9CD7">
    <w:name w:val="85A87045BA9A416AB50E290F291A9CD7"/>
    <w:rsid w:val="00C4141B"/>
    <w:pPr>
      <w:bidi/>
      <w:spacing w:after="0" w:line="240" w:lineRule="auto"/>
    </w:pPr>
    <w:rPr>
      <w:rFonts w:ascii="Times New Roman" w:eastAsia="Times New Roman" w:hAnsi="Times New Roman" w:cs="David"/>
      <w:noProof/>
      <w:sz w:val="24"/>
      <w:szCs w:val="24"/>
    </w:rPr>
  </w:style>
  <w:style w:type="paragraph" w:customStyle="1" w:styleId="6E5CCD4DB6BB447B8383D806E977B9322">
    <w:name w:val="6E5CCD4DB6BB447B8383D806E977B9322"/>
    <w:rsid w:val="00C4141B"/>
    <w:pPr>
      <w:bidi/>
      <w:spacing w:after="0" w:line="240" w:lineRule="auto"/>
    </w:pPr>
    <w:rPr>
      <w:rFonts w:ascii="Times New Roman" w:eastAsia="Times New Roman" w:hAnsi="Times New Roman" w:cs="David"/>
      <w:noProof/>
      <w:sz w:val="24"/>
      <w:szCs w:val="24"/>
    </w:rPr>
  </w:style>
  <w:style w:type="paragraph" w:customStyle="1" w:styleId="6E5CCD4DB6BB447B8383D806E977B9323">
    <w:name w:val="6E5CCD4DB6BB447B8383D806E977B9323"/>
    <w:rsid w:val="00C4141B"/>
    <w:pPr>
      <w:bidi/>
      <w:spacing w:after="0" w:line="240" w:lineRule="auto"/>
    </w:pPr>
    <w:rPr>
      <w:rFonts w:ascii="Times New Roman" w:eastAsia="Times New Roman" w:hAnsi="Times New Roman" w:cs="David"/>
      <w:noProof/>
      <w:sz w:val="24"/>
      <w:szCs w:val="24"/>
    </w:rPr>
  </w:style>
  <w:style w:type="paragraph" w:customStyle="1" w:styleId="6E5CCD4DB6BB447B8383D806E977B9324">
    <w:name w:val="6E5CCD4DB6BB447B8383D806E977B9324"/>
    <w:rsid w:val="0005798D"/>
    <w:pPr>
      <w:bidi/>
      <w:spacing w:after="0" w:line="240" w:lineRule="auto"/>
    </w:pPr>
    <w:rPr>
      <w:rFonts w:ascii="Times New Roman" w:eastAsia="Times New Roman" w:hAnsi="Times New Roman" w:cs="David"/>
      <w:noProof/>
      <w:sz w:val="24"/>
      <w:szCs w:val="24"/>
    </w:rPr>
  </w:style>
  <w:style w:type="paragraph" w:customStyle="1" w:styleId="DC64E22A377F47ED8A9D021A15D1F96C">
    <w:name w:val="DC64E22A377F47ED8A9D021A15D1F96C"/>
    <w:rsid w:val="0005798D"/>
    <w:pPr>
      <w:bidi/>
      <w:spacing w:after="0" w:line="240" w:lineRule="auto"/>
    </w:pPr>
    <w:rPr>
      <w:rFonts w:ascii="Times New Roman" w:eastAsia="Times New Roman" w:hAnsi="Times New Roman" w:cs="David"/>
      <w:noProof/>
      <w:sz w:val="24"/>
      <w:szCs w:val="24"/>
    </w:rPr>
  </w:style>
  <w:style w:type="paragraph" w:customStyle="1" w:styleId="15766D57ADC2432EA78B9583FC656549">
    <w:name w:val="15766D57ADC2432EA78B9583FC656549"/>
    <w:rsid w:val="0005798D"/>
    <w:pPr>
      <w:bidi/>
      <w:spacing w:after="0" w:line="240" w:lineRule="auto"/>
    </w:pPr>
    <w:rPr>
      <w:rFonts w:ascii="Times New Roman" w:eastAsia="Times New Roman" w:hAnsi="Times New Roman" w:cs="David"/>
      <w:noProof/>
      <w:sz w:val="24"/>
      <w:szCs w:val="24"/>
    </w:rPr>
  </w:style>
  <w:style w:type="paragraph" w:customStyle="1" w:styleId="6E5CCD4DB6BB447B8383D806E977B9325">
    <w:name w:val="6E5CCD4DB6BB447B8383D806E977B9325"/>
    <w:rsid w:val="003E24AE"/>
    <w:pPr>
      <w:bidi/>
      <w:spacing w:after="0" w:line="240" w:lineRule="auto"/>
    </w:pPr>
    <w:rPr>
      <w:rFonts w:ascii="Times New Roman" w:eastAsia="Times New Roman" w:hAnsi="Times New Roman" w:cs="David"/>
      <w:noProof/>
      <w:sz w:val="24"/>
      <w:szCs w:val="24"/>
    </w:rPr>
  </w:style>
  <w:style w:type="paragraph" w:customStyle="1" w:styleId="ED284E57178D4F72953480EE13516029">
    <w:name w:val="ED284E57178D4F72953480EE13516029"/>
    <w:rsid w:val="003E24AE"/>
    <w:pPr>
      <w:bidi/>
      <w:spacing w:after="0" w:line="240" w:lineRule="auto"/>
    </w:pPr>
    <w:rPr>
      <w:rFonts w:ascii="Times New Roman" w:eastAsia="Times New Roman" w:hAnsi="Times New Roman" w:cs="David"/>
      <w:noProof/>
      <w:sz w:val="24"/>
      <w:szCs w:val="24"/>
    </w:rPr>
  </w:style>
  <w:style w:type="paragraph" w:customStyle="1" w:styleId="9B3BEECACDA8442DB34AA820FCAB522E">
    <w:name w:val="9B3BEECACDA8442DB34AA820FCAB522E"/>
    <w:rsid w:val="003E24AE"/>
    <w:pPr>
      <w:bidi/>
      <w:spacing w:after="0" w:line="240" w:lineRule="auto"/>
    </w:pPr>
    <w:rPr>
      <w:rFonts w:ascii="Times New Roman" w:eastAsia="Times New Roman" w:hAnsi="Times New Roman" w:cs="David"/>
      <w:noProof/>
      <w:sz w:val="24"/>
      <w:szCs w:val="24"/>
    </w:rPr>
  </w:style>
  <w:style w:type="paragraph" w:customStyle="1" w:styleId="6E5CCD4DB6BB447B8383D806E977B9326">
    <w:name w:val="6E5CCD4DB6BB447B8383D806E977B9326"/>
    <w:rsid w:val="00642001"/>
    <w:pPr>
      <w:bidi/>
      <w:spacing w:after="0" w:line="240" w:lineRule="auto"/>
    </w:pPr>
    <w:rPr>
      <w:rFonts w:ascii="Times New Roman" w:eastAsia="Times New Roman" w:hAnsi="Times New Roman" w:cs="David"/>
      <w:noProof/>
      <w:sz w:val="24"/>
      <w:szCs w:val="24"/>
    </w:rPr>
  </w:style>
  <w:style w:type="paragraph" w:customStyle="1" w:styleId="6E5CCD4DB6BB447B8383D806E977B9327">
    <w:name w:val="6E5CCD4DB6BB447B8383D806E977B9327"/>
    <w:rsid w:val="0015524C"/>
    <w:pPr>
      <w:bidi/>
      <w:spacing w:after="0" w:line="240" w:lineRule="auto"/>
    </w:pPr>
    <w:rPr>
      <w:rFonts w:ascii="Times New Roman" w:eastAsia="Times New Roman" w:hAnsi="Times New Roman" w:cs="David"/>
      <w:noProof/>
      <w:sz w:val="24"/>
      <w:szCs w:val="24"/>
    </w:rPr>
  </w:style>
  <w:style w:type="paragraph" w:customStyle="1" w:styleId="F69C83118BC5455B8DBC07B0D0A49286">
    <w:name w:val="F69C83118BC5455B8DBC07B0D0A49286"/>
    <w:rsid w:val="0015524C"/>
    <w:pPr>
      <w:bidi/>
      <w:spacing w:after="0" w:line="240" w:lineRule="auto"/>
    </w:pPr>
    <w:rPr>
      <w:rFonts w:ascii="Times New Roman" w:eastAsia="Times New Roman" w:hAnsi="Times New Roman" w:cs="David"/>
      <w:noProof/>
      <w:sz w:val="24"/>
      <w:szCs w:val="24"/>
    </w:rPr>
  </w:style>
  <w:style w:type="paragraph" w:customStyle="1" w:styleId="642C1E87D281476DBD9D0D00971E2C6A">
    <w:name w:val="642C1E87D281476DBD9D0D00971E2C6A"/>
    <w:rsid w:val="0015524C"/>
    <w:pPr>
      <w:bidi/>
      <w:spacing w:after="0" w:line="240" w:lineRule="auto"/>
    </w:pPr>
    <w:rPr>
      <w:rFonts w:ascii="Times New Roman" w:eastAsia="Times New Roman" w:hAnsi="Times New Roman" w:cs="David"/>
      <w:noProof/>
      <w:sz w:val="24"/>
      <w:szCs w:val="24"/>
    </w:rPr>
  </w:style>
  <w:style w:type="paragraph" w:customStyle="1" w:styleId="95F4673BB06D4909BAE6DC3C1AF942A8">
    <w:name w:val="95F4673BB06D4909BAE6DC3C1AF942A8"/>
    <w:rsid w:val="0015524C"/>
    <w:pPr>
      <w:bidi/>
      <w:spacing w:after="0" w:line="240" w:lineRule="auto"/>
    </w:pPr>
    <w:rPr>
      <w:rFonts w:ascii="Times New Roman" w:eastAsia="Times New Roman" w:hAnsi="Times New Roman" w:cs="David"/>
      <w:noProof/>
      <w:sz w:val="24"/>
      <w:szCs w:val="24"/>
    </w:rPr>
  </w:style>
  <w:style w:type="paragraph" w:customStyle="1" w:styleId="6E5CCD4DB6BB447B8383D806E977B9328">
    <w:name w:val="6E5CCD4DB6BB447B8383D806E977B9328"/>
    <w:rsid w:val="0015524C"/>
    <w:pPr>
      <w:bidi/>
      <w:spacing w:after="0" w:line="240" w:lineRule="auto"/>
    </w:pPr>
    <w:rPr>
      <w:rFonts w:ascii="Times New Roman" w:eastAsia="Times New Roman" w:hAnsi="Times New Roman" w:cs="David"/>
      <w:noProof/>
      <w:sz w:val="24"/>
      <w:szCs w:val="24"/>
    </w:rPr>
  </w:style>
  <w:style w:type="paragraph" w:customStyle="1" w:styleId="6E5CCD4DB6BB447B8383D806E977B9329">
    <w:name w:val="6E5CCD4DB6BB447B8383D806E977B9329"/>
    <w:rsid w:val="00BB1113"/>
    <w:pPr>
      <w:bidi/>
      <w:spacing w:after="0" w:line="240" w:lineRule="auto"/>
    </w:pPr>
    <w:rPr>
      <w:rFonts w:ascii="Times New Roman" w:eastAsia="Times New Roman" w:hAnsi="Times New Roman" w:cs="David"/>
      <w:noProof/>
      <w:sz w:val="24"/>
      <w:szCs w:val="24"/>
    </w:rPr>
  </w:style>
  <w:style w:type="paragraph" w:customStyle="1" w:styleId="5473FE7C595245C8BEE4CA2D0F061B7B">
    <w:name w:val="5473FE7C595245C8BEE4CA2D0F061B7B"/>
    <w:rsid w:val="00BB1113"/>
    <w:pPr>
      <w:bidi/>
      <w:spacing w:after="0" w:line="240" w:lineRule="auto"/>
    </w:pPr>
    <w:rPr>
      <w:rFonts w:ascii="Times New Roman" w:eastAsia="Times New Roman" w:hAnsi="Times New Roman" w:cs="David"/>
      <w:noProof/>
      <w:sz w:val="24"/>
      <w:szCs w:val="24"/>
    </w:rPr>
  </w:style>
  <w:style w:type="paragraph" w:customStyle="1" w:styleId="ADEDB763A47342BE935031C46C6E1DBA">
    <w:name w:val="ADEDB763A47342BE935031C46C6E1DBA"/>
    <w:rsid w:val="00BB1113"/>
    <w:pPr>
      <w:bidi/>
      <w:spacing w:after="0" w:line="240" w:lineRule="auto"/>
    </w:pPr>
    <w:rPr>
      <w:rFonts w:ascii="Times New Roman" w:eastAsia="Times New Roman" w:hAnsi="Times New Roman" w:cs="David"/>
      <w:noProof/>
      <w:sz w:val="24"/>
      <w:szCs w:val="24"/>
    </w:rPr>
  </w:style>
  <w:style w:type="paragraph" w:customStyle="1" w:styleId="642C1E87D281476DBD9D0D00971E2C6A1">
    <w:name w:val="642C1E87D281476DBD9D0D00971E2C6A1"/>
    <w:rsid w:val="00BB1113"/>
    <w:pPr>
      <w:bidi/>
      <w:spacing w:after="0" w:line="240" w:lineRule="auto"/>
    </w:pPr>
    <w:rPr>
      <w:rFonts w:ascii="Times New Roman" w:eastAsia="Times New Roman" w:hAnsi="Times New Roman" w:cs="David"/>
      <w:noProof/>
      <w:sz w:val="24"/>
      <w:szCs w:val="24"/>
    </w:rPr>
  </w:style>
  <w:style w:type="paragraph" w:customStyle="1" w:styleId="95F4673BB06D4909BAE6DC3C1AF942A81">
    <w:name w:val="95F4673BB06D4909BAE6DC3C1AF942A81"/>
    <w:rsid w:val="00BB1113"/>
    <w:pPr>
      <w:bidi/>
      <w:spacing w:after="0" w:line="240" w:lineRule="auto"/>
    </w:pPr>
    <w:rPr>
      <w:rFonts w:ascii="Times New Roman" w:eastAsia="Times New Roman" w:hAnsi="Times New Roman" w:cs="David"/>
      <w:noProof/>
      <w:sz w:val="24"/>
      <w:szCs w:val="24"/>
    </w:rPr>
  </w:style>
  <w:style w:type="paragraph" w:customStyle="1" w:styleId="6E5CCD4DB6BB447B8383D806E977B93210">
    <w:name w:val="6E5CCD4DB6BB447B8383D806E977B93210"/>
    <w:rsid w:val="00D7301D"/>
    <w:pPr>
      <w:bidi/>
      <w:spacing w:after="0" w:line="240" w:lineRule="auto"/>
    </w:pPr>
    <w:rPr>
      <w:rFonts w:ascii="Times New Roman" w:eastAsia="Times New Roman" w:hAnsi="Times New Roman" w:cs="David"/>
      <w:noProof/>
      <w:sz w:val="24"/>
      <w:szCs w:val="24"/>
    </w:rPr>
  </w:style>
  <w:style w:type="paragraph" w:customStyle="1" w:styleId="5473FE7C595245C8BEE4CA2D0F061B7B1">
    <w:name w:val="5473FE7C595245C8BEE4CA2D0F061B7B1"/>
    <w:rsid w:val="00D7301D"/>
    <w:pPr>
      <w:bidi/>
      <w:spacing w:after="0" w:line="240" w:lineRule="auto"/>
    </w:pPr>
    <w:rPr>
      <w:rFonts w:ascii="Times New Roman" w:eastAsia="Times New Roman" w:hAnsi="Times New Roman" w:cs="David"/>
      <w:noProof/>
      <w:sz w:val="24"/>
      <w:szCs w:val="24"/>
    </w:rPr>
  </w:style>
  <w:style w:type="paragraph" w:customStyle="1" w:styleId="ADEDB763A47342BE935031C46C6E1DBA1">
    <w:name w:val="ADEDB763A47342BE935031C46C6E1DBA1"/>
    <w:rsid w:val="00D7301D"/>
    <w:pPr>
      <w:bidi/>
      <w:spacing w:after="0" w:line="240" w:lineRule="auto"/>
    </w:pPr>
    <w:rPr>
      <w:rFonts w:ascii="Times New Roman" w:eastAsia="Times New Roman" w:hAnsi="Times New Roman" w:cs="David"/>
      <w:noProof/>
      <w:sz w:val="24"/>
      <w:szCs w:val="24"/>
    </w:rPr>
  </w:style>
  <w:style w:type="paragraph" w:customStyle="1" w:styleId="CB819691CFD548BB8F799A9CD7AF0EA5">
    <w:name w:val="CB819691CFD548BB8F799A9CD7AF0EA5"/>
    <w:rsid w:val="00D7301D"/>
    <w:pPr>
      <w:bidi/>
      <w:spacing w:after="0" w:line="240" w:lineRule="auto"/>
    </w:pPr>
    <w:rPr>
      <w:rFonts w:ascii="Times New Roman" w:eastAsia="Times New Roman" w:hAnsi="Times New Roman" w:cs="David"/>
      <w:noProof/>
      <w:sz w:val="24"/>
      <w:szCs w:val="24"/>
    </w:rPr>
  </w:style>
  <w:style w:type="paragraph" w:customStyle="1" w:styleId="8EADD095B2E5406FBB493767F880C4E6">
    <w:name w:val="8EADD095B2E5406FBB493767F880C4E6"/>
    <w:rsid w:val="00D7301D"/>
    <w:pPr>
      <w:bidi/>
      <w:spacing w:after="0" w:line="240" w:lineRule="auto"/>
    </w:pPr>
    <w:rPr>
      <w:rFonts w:ascii="Times New Roman" w:eastAsia="Times New Roman" w:hAnsi="Times New Roman" w:cs="David"/>
      <w:noProof/>
      <w:sz w:val="24"/>
      <w:szCs w:val="24"/>
    </w:rPr>
  </w:style>
  <w:style w:type="paragraph" w:customStyle="1" w:styleId="6E5CCD4DB6BB447B8383D806E977B93211">
    <w:name w:val="6E5CCD4DB6BB447B8383D806E977B93211"/>
    <w:rsid w:val="009471B2"/>
    <w:pPr>
      <w:bidi/>
      <w:spacing w:after="0" w:line="240" w:lineRule="auto"/>
    </w:pPr>
    <w:rPr>
      <w:rFonts w:ascii="Times New Roman" w:eastAsia="Times New Roman" w:hAnsi="Times New Roman" w:cs="David"/>
      <w:noProof/>
      <w:sz w:val="24"/>
      <w:szCs w:val="24"/>
    </w:rPr>
  </w:style>
  <w:style w:type="paragraph" w:customStyle="1" w:styleId="5473FE7C595245C8BEE4CA2D0F061B7B2">
    <w:name w:val="5473FE7C595245C8BEE4CA2D0F061B7B2"/>
    <w:rsid w:val="009471B2"/>
    <w:pPr>
      <w:bidi/>
      <w:spacing w:after="0" w:line="240" w:lineRule="auto"/>
    </w:pPr>
    <w:rPr>
      <w:rFonts w:ascii="Times New Roman" w:eastAsia="Times New Roman" w:hAnsi="Times New Roman" w:cs="David"/>
      <w:noProof/>
      <w:sz w:val="24"/>
      <w:szCs w:val="24"/>
    </w:rPr>
  </w:style>
  <w:style w:type="paragraph" w:customStyle="1" w:styleId="ADEDB763A47342BE935031C46C6E1DBA2">
    <w:name w:val="ADEDB763A47342BE935031C46C6E1DBA2"/>
    <w:rsid w:val="009471B2"/>
    <w:pPr>
      <w:bidi/>
      <w:spacing w:after="0" w:line="240" w:lineRule="auto"/>
    </w:pPr>
    <w:rPr>
      <w:rFonts w:ascii="Times New Roman" w:eastAsia="Times New Roman" w:hAnsi="Times New Roman" w:cs="David"/>
      <w:noProof/>
      <w:sz w:val="24"/>
      <w:szCs w:val="24"/>
    </w:rPr>
  </w:style>
  <w:style w:type="paragraph" w:customStyle="1" w:styleId="880A0838A4B741698D7843055E98B6DC">
    <w:name w:val="880A0838A4B741698D7843055E98B6DC"/>
    <w:rsid w:val="009471B2"/>
    <w:pPr>
      <w:bidi/>
      <w:spacing w:after="0" w:line="240" w:lineRule="auto"/>
    </w:pPr>
    <w:rPr>
      <w:rFonts w:ascii="Times New Roman" w:eastAsia="Times New Roman" w:hAnsi="Times New Roman" w:cs="David"/>
      <w:noProof/>
      <w:sz w:val="24"/>
      <w:szCs w:val="24"/>
    </w:rPr>
  </w:style>
  <w:style w:type="paragraph" w:customStyle="1" w:styleId="756B1ECE79634F2188B16D7B57FF740D">
    <w:name w:val="756B1ECE79634F2188B16D7B57FF740D"/>
    <w:rsid w:val="009471B2"/>
    <w:pPr>
      <w:bidi/>
      <w:spacing w:after="0" w:line="240" w:lineRule="auto"/>
    </w:pPr>
    <w:rPr>
      <w:rFonts w:ascii="Times New Roman" w:eastAsia="Times New Roman" w:hAnsi="Times New Roman" w:cs="David"/>
      <w:noProof/>
      <w:sz w:val="24"/>
      <w:szCs w:val="24"/>
    </w:rPr>
  </w:style>
  <w:style w:type="paragraph" w:customStyle="1" w:styleId="CF55F78233CF4B1ABD5F8220B3863D23">
    <w:name w:val="CF55F78233CF4B1ABD5F8220B3863D23"/>
    <w:rsid w:val="00285F3F"/>
    <w:pPr>
      <w:bidi/>
      <w:spacing w:after="160" w:line="259" w:lineRule="auto"/>
    </w:pPr>
  </w:style>
  <w:style w:type="paragraph" w:customStyle="1" w:styleId="48E40D848E6B4B77A84754D2F558E508">
    <w:name w:val="48E40D848E6B4B77A84754D2F558E508"/>
    <w:rsid w:val="00C56011"/>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28</Pages>
  <Words>8230</Words>
  <Characters>41153</Characters>
  <Application>Microsoft Office Word</Application>
  <DocSecurity>0</DocSecurity>
  <Lines>342</Lines>
  <Paragraphs>98</Paragraphs>
  <ScaleCrop>false</ScaleCrop>
  <Company>Microsoft Corporation</Company>
  <LinksUpToDate>false</LinksUpToDate>
  <CharactersWithSpaces>49285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לאה גליקסמן</cp:lastModifiedBy>
  <cp:revision>69</cp:revision>
  <dcterms:created xsi:type="dcterms:W3CDTF">2012-08-05T21:42:00Z</dcterms:created>
  <dcterms:modified xsi:type="dcterms:W3CDTF">2021-12-23T13:51:00Z</dcterms:modified>
</cp:coreProperties>
</file>

<file path=docProps/custom.xml><?xml version="1.0" encoding="utf-8"?>
<op:Properties xmlns:vt="http://schemas.openxmlformats.org/officeDocument/2006/docPropsVTypes" xmlns:op="http://schemas.openxmlformats.org/officeDocument/2006/custom-properties"/>
</file>