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988" w:rsidRDefault="000E0988" w:rsidP="000E0988">
      <w:pPr>
        <w:tabs>
          <w:tab w:val="left" w:pos="4230"/>
        </w:tabs>
        <w:jc w:val="right"/>
        <w:rPr>
          <w:rtl/>
        </w:rPr>
      </w:pPr>
      <w:bookmarkStart w:id="0" w:name="_GoBack"/>
      <w:bookmarkEnd w:id="0"/>
      <w:r w:rsidRPr="00BA6A16">
        <w:rPr>
          <w:rStyle w:val="ad"/>
          <w:rFonts w:hint="cs"/>
          <w:b/>
          <w:bCs/>
          <w:color w:val="auto"/>
          <w:sz w:val="26"/>
          <w:szCs w:val="26"/>
          <w:u w:val="single"/>
          <w:rtl/>
        </w:rPr>
        <w:t>ניתן ביום</w:t>
      </w:r>
      <w:r>
        <w:rPr>
          <w:rFonts w:hint="cs"/>
          <w:rtl/>
        </w:rPr>
        <w:t xml:space="preserve"> </w:t>
      </w:r>
      <w:sdt>
        <w:sdtPr>
          <w:rPr>
            <w:rFonts w:hint="cs"/>
            <w:rtl/>
          </w:rPr>
          <w:alias w:val="1456"/>
          <w:tag w:val="1456"/>
          <w:id w:val="-1452548943"/>
          <w:placeholder>
            <w:docPart w:val="6E5CCD4DB6BB447B8383D806E977B932"/>
          </w:placeholder>
          <w:text w:multiLine="1"/>
        </w:sdtPr>
        <w:sdtEndPr/>
        <w:sdtContent>
          <w:r>
            <w:rPr>
              <w:rStyle w:val="ad"/>
              <w:b/>
              <w:bCs/>
              <w:color w:val="auto"/>
              <w:sz w:val="26"/>
              <w:szCs w:val="26"/>
              <w:rtl/>
            </w:rPr>
            <w:t>15 מאי 2020</w:t>
          </w:r>
        </w:sdtContent>
      </w:sdt>
    </w:p>
    <w:p w:rsidR="00694556" w:rsidRDefault="00694556">
      <w:pPr>
        <w:rPr>
          <w:rtl/>
        </w:rPr>
      </w:pPr>
    </w:p>
    <w:p w:rsidR="006B7836" w:rsidRDefault="006B7836" w:rsidP="006B7836">
      <w:pPr>
        <w:rPr>
          <w:rtl/>
        </w:rPr>
      </w:pPr>
    </w:p>
    <w:tbl>
      <w:tblPr>
        <w:tblStyle w:val="aa"/>
        <w:bidiVisual/>
        <w:tblW w:w="8802" w:type="dxa"/>
        <w:tblInd w:w="-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40"/>
        <w:gridCol w:w="3762"/>
      </w:tblGrid>
      <w:tr w:rsidR="006B7836" w:rsidTr="006B7836">
        <w:tc>
          <w:tcPr>
            <w:tcW w:w="5040" w:type="dxa"/>
            <w:tcMar>
              <w:top w:w="113" w:type="dxa"/>
              <w:left w:w="108" w:type="dxa"/>
              <w:bottom w:w="113" w:type="dxa"/>
              <w:right w:w="108" w:type="dxa"/>
            </w:tcMar>
            <w:hideMark/>
          </w:tcPr>
          <w:p w:rsidR="006B7836" w:rsidRDefault="006B7836">
            <w:pPr>
              <w:spacing w:after="160" w:line="256" w:lineRule="auto"/>
              <w:ind w:left="26" w:right="-284"/>
              <w:rPr>
                <w:rFonts w:ascii="David" w:hAnsi="David"/>
                <w:b/>
                <w:bCs/>
                <w:sz w:val="28"/>
                <w:szCs w:val="28"/>
                <w:rtl/>
              </w:rPr>
            </w:pPr>
            <w:r>
              <w:rPr>
                <w:rFonts w:ascii="David" w:hAnsi="David"/>
                <w:b/>
                <w:bCs/>
                <w:sz w:val="28"/>
                <w:szCs w:val="28"/>
                <w:rtl/>
              </w:rPr>
              <w:t xml:space="preserve">אריה בגו </w:t>
            </w:r>
            <w:r>
              <w:rPr>
                <w:rFonts w:ascii="David" w:hAnsi="David"/>
                <w:b/>
                <w:bCs/>
                <w:sz w:val="28"/>
                <w:szCs w:val="28"/>
                <w:rtl/>
              </w:rPr>
              <w:br/>
              <w:t>שרה נאמן, אלמנת המנוח שמואל נאמן ז"ל</w:t>
            </w:r>
          </w:p>
        </w:tc>
        <w:tc>
          <w:tcPr>
            <w:tcW w:w="3762" w:type="dxa"/>
            <w:tcMar>
              <w:top w:w="113" w:type="dxa"/>
              <w:left w:w="108" w:type="dxa"/>
              <w:bottom w:w="113" w:type="dxa"/>
              <w:right w:w="108" w:type="dxa"/>
            </w:tcMar>
            <w:hideMark/>
          </w:tcPr>
          <w:p w:rsidR="006B7836" w:rsidRDefault="006B7836">
            <w:pPr>
              <w:spacing w:after="160" w:line="256" w:lineRule="auto"/>
              <w:ind w:right="-284"/>
              <w:rPr>
                <w:rFonts w:ascii="David" w:hAnsi="David"/>
                <w:b/>
                <w:bCs/>
                <w:sz w:val="28"/>
                <w:szCs w:val="28"/>
                <w:u w:val="single"/>
                <w:rtl/>
              </w:rPr>
            </w:pPr>
            <w:r>
              <w:rPr>
                <w:rFonts w:ascii="David" w:hAnsi="David"/>
                <w:b/>
                <w:bCs/>
                <w:sz w:val="28"/>
                <w:szCs w:val="28"/>
                <w:rtl/>
              </w:rPr>
              <w:t>המערער בע"ע 40779-05-17</w:t>
            </w:r>
            <w:r>
              <w:rPr>
                <w:rFonts w:ascii="David" w:hAnsi="David"/>
                <w:b/>
                <w:bCs/>
                <w:sz w:val="28"/>
                <w:szCs w:val="28"/>
                <w:u w:val="single"/>
                <w:rtl/>
              </w:rPr>
              <w:t xml:space="preserve"> </w:t>
            </w:r>
            <w:r>
              <w:rPr>
                <w:rFonts w:ascii="David" w:hAnsi="David"/>
                <w:b/>
                <w:bCs/>
                <w:sz w:val="28"/>
                <w:szCs w:val="28"/>
                <w:u w:val="single"/>
                <w:rtl/>
              </w:rPr>
              <w:br/>
              <w:t>המערערת בעב"ל 55089-01-16</w:t>
            </w:r>
          </w:p>
        </w:tc>
      </w:tr>
      <w:tr w:rsidR="006B7836" w:rsidTr="006B7836">
        <w:tc>
          <w:tcPr>
            <w:tcW w:w="5040" w:type="dxa"/>
            <w:tcMar>
              <w:top w:w="113" w:type="dxa"/>
              <w:left w:w="108" w:type="dxa"/>
              <w:bottom w:w="113" w:type="dxa"/>
              <w:right w:w="108" w:type="dxa"/>
            </w:tcMar>
            <w:vAlign w:val="center"/>
            <w:hideMark/>
          </w:tcPr>
          <w:p w:rsidR="006B7836" w:rsidRDefault="006B7836">
            <w:pPr>
              <w:spacing w:after="160" w:line="256" w:lineRule="auto"/>
              <w:ind w:left="26" w:right="-284"/>
              <w:rPr>
                <w:rFonts w:ascii="David" w:hAnsi="David"/>
                <w:b/>
                <w:bCs/>
                <w:sz w:val="28"/>
                <w:szCs w:val="28"/>
                <w:rtl/>
              </w:rPr>
            </w:pPr>
            <w:r>
              <w:rPr>
                <w:rFonts w:ascii="David" w:hAnsi="David"/>
                <w:b/>
                <w:bCs/>
                <w:sz w:val="28"/>
                <w:szCs w:val="28"/>
                <w:rtl/>
              </w:rPr>
              <w:t>-</w:t>
            </w:r>
          </w:p>
        </w:tc>
        <w:tc>
          <w:tcPr>
            <w:tcW w:w="3762" w:type="dxa"/>
            <w:tcMar>
              <w:top w:w="113" w:type="dxa"/>
              <w:left w:w="108" w:type="dxa"/>
              <w:bottom w:w="113" w:type="dxa"/>
              <w:right w:w="108" w:type="dxa"/>
            </w:tcMar>
          </w:tcPr>
          <w:p w:rsidR="006B7836" w:rsidRDefault="006B7836">
            <w:pPr>
              <w:spacing w:after="160" w:line="256" w:lineRule="auto"/>
              <w:ind w:right="-284"/>
              <w:rPr>
                <w:rFonts w:ascii="David" w:hAnsi="David"/>
                <w:b/>
                <w:bCs/>
                <w:sz w:val="28"/>
                <w:szCs w:val="28"/>
                <w:rtl/>
              </w:rPr>
            </w:pPr>
          </w:p>
        </w:tc>
      </w:tr>
      <w:tr w:rsidR="006B7836" w:rsidTr="006B7836">
        <w:trPr>
          <w:trHeight w:val="407"/>
        </w:trPr>
        <w:tc>
          <w:tcPr>
            <w:tcW w:w="5040" w:type="dxa"/>
            <w:tcMar>
              <w:top w:w="113" w:type="dxa"/>
              <w:left w:w="108" w:type="dxa"/>
              <w:bottom w:w="113" w:type="dxa"/>
              <w:right w:w="108" w:type="dxa"/>
            </w:tcMar>
          </w:tcPr>
          <w:p w:rsidR="006B7836" w:rsidRDefault="006B7836">
            <w:pPr>
              <w:spacing w:after="160" w:line="256" w:lineRule="auto"/>
              <w:ind w:right="-284"/>
              <w:rPr>
                <w:rFonts w:ascii="David" w:hAnsi="David"/>
                <w:b/>
                <w:bCs/>
                <w:sz w:val="28"/>
                <w:szCs w:val="28"/>
                <w:rtl/>
              </w:rPr>
            </w:pPr>
            <w:r>
              <w:rPr>
                <w:rFonts w:ascii="David" w:hAnsi="David"/>
                <w:b/>
                <w:bCs/>
                <w:sz w:val="28"/>
                <w:szCs w:val="28"/>
                <w:rtl/>
              </w:rPr>
              <w:t>שירותי בריאות  כללית</w:t>
            </w:r>
            <w:r>
              <w:rPr>
                <w:rFonts w:ascii="David" w:hAnsi="David"/>
                <w:b/>
                <w:bCs/>
                <w:sz w:val="28"/>
                <w:szCs w:val="28"/>
                <w:rtl/>
              </w:rPr>
              <w:br/>
              <w:t>קופת חולים לאומית</w:t>
            </w:r>
          </w:p>
          <w:p w:rsidR="006B7836" w:rsidRDefault="006B7836">
            <w:pPr>
              <w:spacing w:after="160" w:line="256" w:lineRule="auto"/>
              <w:ind w:right="-284"/>
              <w:rPr>
                <w:rFonts w:ascii="David" w:hAnsi="David"/>
                <w:b/>
                <w:bCs/>
                <w:sz w:val="28"/>
                <w:szCs w:val="28"/>
                <w:rtl/>
              </w:rPr>
            </w:pPr>
          </w:p>
          <w:p w:rsidR="006B7836" w:rsidRDefault="006B7836">
            <w:pPr>
              <w:spacing w:after="160" w:line="256" w:lineRule="auto"/>
              <w:ind w:right="-284"/>
              <w:rPr>
                <w:rFonts w:ascii="David" w:hAnsi="David"/>
                <w:b/>
                <w:bCs/>
                <w:sz w:val="28"/>
                <w:szCs w:val="28"/>
                <w:rtl/>
              </w:rPr>
            </w:pPr>
            <w:r>
              <w:rPr>
                <w:rFonts w:ascii="David" w:hAnsi="David"/>
                <w:b/>
                <w:bCs/>
                <w:sz w:val="28"/>
                <w:szCs w:val="28"/>
                <w:rtl/>
              </w:rPr>
              <w:t>המוסד לביטוח לאומי</w:t>
            </w:r>
            <w:r>
              <w:rPr>
                <w:rFonts w:ascii="David" w:hAnsi="David"/>
                <w:b/>
                <w:bCs/>
                <w:sz w:val="28"/>
                <w:szCs w:val="28"/>
                <w:rtl/>
              </w:rPr>
              <w:br/>
            </w:r>
            <w:r>
              <w:rPr>
                <w:rFonts w:ascii="David" w:hAnsi="David"/>
                <w:b/>
                <w:bCs/>
                <w:sz w:val="28"/>
                <w:szCs w:val="28"/>
                <w:rtl/>
              </w:rPr>
              <w:br/>
              <w:t>קופת חולים מאוחדת</w:t>
            </w:r>
            <w:r>
              <w:rPr>
                <w:rFonts w:ascii="David" w:hAnsi="David"/>
                <w:b/>
                <w:bCs/>
                <w:sz w:val="28"/>
                <w:szCs w:val="28"/>
                <w:rtl/>
              </w:rPr>
              <w:br/>
              <w:t>קופת חולים מכבי</w:t>
            </w:r>
          </w:p>
        </w:tc>
        <w:tc>
          <w:tcPr>
            <w:tcW w:w="3762" w:type="dxa"/>
            <w:tcMar>
              <w:top w:w="113" w:type="dxa"/>
              <w:left w:w="108" w:type="dxa"/>
              <w:bottom w:w="113" w:type="dxa"/>
              <w:right w:w="108" w:type="dxa"/>
            </w:tcMar>
          </w:tcPr>
          <w:p w:rsidR="006B7836" w:rsidRDefault="006B7836">
            <w:pPr>
              <w:spacing w:after="160" w:line="256" w:lineRule="auto"/>
              <w:ind w:right="-284"/>
              <w:rPr>
                <w:rFonts w:ascii="David" w:hAnsi="David"/>
                <w:b/>
                <w:bCs/>
                <w:sz w:val="28"/>
                <w:szCs w:val="28"/>
                <w:rtl/>
              </w:rPr>
            </w:pPr>
            <w:r>
              <w:rPr>
                <w:rFonts w:ascii="David" w:hAnsi="David"/>
                <w:b/>
                <w:bCs/>
                <w:sz w:val="28"/>
                <w:szCs w:val="28"/>
                <w:rtl/>
              </w:rPr>
              <w:t>המשיבה בע"ע 40779-05-17</w:t>
            </w:r>
          </w:p>
          <w:p w:rsidR="006B7836" w:rsidRDefault="006B7836">
            <w:pPr>
              <w:spacing w:after="160" w:line="256" w:lineRule="auto"/>
              <w:ind w:right="-284"/>
              <w:rPr>
                <w:rFonts w:ascii="David" w:hAnsi="David"/>
                <w:b/>
                <w:bCs/>
                <w:sz w:val="28"/>
                <w:szCs w:val="28"/>
                <w:u w:val="single"/>
                <w:rtl/>
              </w:rPr>
            </w:pPr>
            <w:r>
              <w:rPr>
                <w:rFonts w:ascii="David" w:hAnsi="David"/>
                <w:b/>
                <w:bCs/>
                <w:sz w:val="28"/>
                <w:szCs w:val="28"/>
                <w:u w:val="single"/>
                <w:rtl/>
              </w:rPr>
              <w:t>המשיבה בעב"ל 5089-01-16</w:t>
            </w:r>
          </w:p>
          <w:p w:rsidR="006B7836" w:rsidRDefault="006B7836">
            <w:pPr>
              <w:spacing w:after="160" w:line="256" w:lineRule="auto"/>
              <w:ind w:left="553" w:right="-284"/>
              <w:rPr>
                <w:rFonts w:ascii="David" w:hAnsi="David"/>
                <w:b/>
                <w:bCs/>
                <w:sz w:val="28"/>
                <w:szCs w:val="28"/>
                <w:rtl/>
              </w:rPr>
            </w:pPr>
          </w:p>
          <w:p w:rsidR="006B7836" w:rsidRDefault="006B7836">
            <w:pPr>
              <w:spacing w:after="160" w:line="256" w:lineRule="auto"/>
              <w:ind w:left="553" w:right="-284"/>
              <w:rPr>
                <w:rFonts w:ascii="David" w:hAnsi="David"/>
                <w:b/>
                <w:bCs/>
                <w:sz w:val="28"/>
                <w:szCs w:val="28"/>
                <w:rtl/>
              </w:rPr>
            </w:pPr>
            <w:r>
              <w:rPr>
                <w:rFonts w:ascii="David" w:hAnsi="David"/>
                <w:b/>
                <w:bCs/>
                <w:sz w:val="28"/>
                <w:szCs w:val="28"/>
                <w:u w:val="single"/>
                <w:rtl/>
              </w:rPr>
              <w:t>המשיב בשני התיקים</w:t>
            </w:r>
            <w:r>
              <w:rPr>
                <w:rFonts w:ascii="David" w:hAnsi="David"/>
                <w:b/>
                <w:bCs/>
                <w:sz w:val="28"/>
                <w:szCs w:val="28"/>
                <w:rtl/>
              </w:rPr>
              <w:br/>
            </w:r>
            <w:r>
              <w:rPr>
                <w:rFonts w:ascii="David" w:hAnsi="David"/>
                <w:b/>
                <w:bCs/>
                <w:sz w:val="28"/>
                <w:szCs w:val="28"/>
                <w:rtl/>
              </w:rPr>
              <w:br/>
            </w:r>
            <w:r>
              <w:rPr>
                <w:rFonts w:ascii="David" w:hAnsi="David"/>
                <w:b/>
                <w:bCs/>
                <w:sz w:val="28"/>
                <w:szCs w:val="28"/>
                <w:rtl/>
              </w:rPr>
              <w:br/>
            </w:r>
            <w:r>
              <w:rPr>
                <w:rFonts w:ascii="David" w:hAnsi="David"/>
                <w:b/>
                <w:bCs/>
                <w:sz w:val="28"/>
                <w:szCs w:val="28"/>
                <w:u w:val="single"/>
                <w:rtl/>
              </w:rPr>
              <w:t>מתייצבים בהליך</w:t>
            </w:r>
          </w:p>
        </w:tc>
      </w:tr>
    </w:tbl>
    <w:p w:rsidR="006B7836" w:rsidRDefault="006B7836" w:rsidP="006B7836">
      <w:pPr>
        <w:ind w:right="-284"/>
        <w:rPr>
          <w:b/>
          <w:bCs/>
          <w:sz w:val="28"/>
          <w:szCs w:val="28"/>
          <w:rtl/>
        </w:rPr>
      </w:pPr>
    </w:p>
    <w:p w:rsidR="006B7836" w:rsidRDefault="006B7836" w:rsidP="006B7836">
      <w:pPr>
        <w:ind w:right="-284"/>
        <w:rPr>
          <w:b/>
          <w:bCs/>
          <w:sz w:val="28"/>
          <w:szCs w:val="28"/>
          <w:rtl/>
        </w:rPr>
      </w:pPr>
    </w:p>
    <w:p w:rsidR="006B7836" w:rsidRDefault="006B7836" w:rsidP="006B7836">
      <w:pPr>
        <w:spacing w:line="360" w:lineRule="auto"/>
        <w:ind w:left="-284"/>
        <w:jc w:val="center"/>
        <w:rPr>
          <w:b/>
          <w:bCs/>
          <w:szCs w:val="28"/>
          <w:rtl/>
          <w:lang w:eastAsia="he-IL"/>
        </w:rPr>
      </w:pPr>
      <w:r>
        <w:rPr>
          <w:b/>
          <w:bCs/>
          <w:szCs w:val="28"/>
          <w:rtl/>
          <w:lang w:eastAsia="he-IL"/>
        </w:rPr>
        <w:t>לפני: סגן הנשיאה אילן איטח, השופטת לאה גליקסמן, השופט רועי פוליאק</w:t>
      </w:r>
    </w:p>
    <w:p w:rsidR="006B7836" w:rsidRDefault="006B7836" w:rsidP="006B7836">
      <w:pPr>
        <w:ind w:right="-284"/>
        <w:jc w:val="center"/>
        <w:rPr>
          <w:b/>
          <w:bCs/>
          <w:sz w:val="28"/>
          <w:szCs w:val="28"/>
          <w:rtl/>
        </w:rPr>
      </w:pPr>
      <w:r>
        <w:rPr>
          <w:b/>
          <w:bCs/>
          <w:sz w:val="28"/>
          <w:szCs w:val="28"/>
          <w:rtl/>
        </w:rPr>
        <w:t>נציג ציבור (עובדים) מר רן קידר, נציג ציבור (מעסיקים) מר אהוד פלד</w:t>
      </w:r>
    </w:p>
    <w:p w:rsidR="006B7836" w:rsidRDefault="006B7836" w:rsidP="006B7836">
      <w:pPr>
        <w:ind w:right="-284"/>
        <w:rPr>
          <w:b/>
          <w:bCs/>
          <w:sz w:val="28"/>
          <w:szCs w:val="28"/>
          <w:rtl/>
        </w:rPr>
      </w:pPr>
    </w:p>
    <w:p w:rsidR="006B7836" w:rsidRDefault="006B7836" w:rsidP="006B7836">
      <w:pPr>
        <w:ind w:right="-284"/>
        <w:rPr>
          <w:b/>
          <w:bCs/>
          <w:sz w:val="28"/>
          <w:szCs w:val="28"/>
          <w:rtl/>
        </w:rPr>
      </w:pPr>
    </w:p>
    <w:p w:rsidR="006B7836" w:rsidRDefault="006B7836" w:rsidP="006B7836">
      <w:pPr>
        <w:ind w:right="-284"/>
        <w:rPr>
          <w:b/>
          <w:bCs/>
          <w:sz w:val="28"/>
          <w:szCs w:val="28"/>
          <w:rtl/>
        </w:rPr>
      </w:pPr>
      <w:r>
        <w:rPr>
          <w:b/>
          <w:bCs/>
          <w:sz w:val="28"/>
          <w:szCs w:val="28"/>
          <w:rtl/>
        </w:rPr>
        <w:t xml:space="preserve">בשם אריה בגו – עו"ד ירון אורי, עו"ד גילי ריביץ </w:t>
      </w:r>
    </w:p>
    <w:p w:rsidR="006B7836" w:rsidRDefault="006B7836" w:rsidP="006B7836">
      <w:pPr>
        <w:ind w:right="-284"/>
        <w:rPr>
          <w:b/>
          <w:bCs/>
          <w:sz w:val="28"/>
          <w:szCs w:val="28"/>
          <w:rtl/>
        </w:rPr>
      </w:pPr>
      <w:r>
        <w:rPr>
          <w:b/>
          <w:bCs/>
          <w:sz w:val="28"/>
          <w:szCs w:val="28"/>
          <w:rtl/>
        </w:rPr>
        <w:t>בשם אלמנת המנוח שמואל נאמן – עו"ד בנימין פילובסקי</w:t>
      </w:r>
    </w:p>
    <w:p w:rsidR="006B7836" w:rsidRDefault="006B7836" w:rsidP="006B7836">
      <w:pPr>
        <w:ind w:right="-284"/>
        <w:rPr>
          <w:b/>
          <w:bCs/>
          <w:sz w:val="28"/>
          <w:szCs w:val="28"/>
          <w:rtl/>
        </w:rPr>
      </w:pPr>
      <w:r>
        <w:rPr>
          <w:b/>
          <w:bCs/>
          <w:sz w:val="28"/>
          <w:szCs w:val="28"/>
          <w:rtl/>
        </w:rPr>
        <w:t>בשם שירותי בריאות כללית – עו"ד אריאל מייטליס, עו"ד חני מור, עו"ד דביר סקעת</w:t>
      </w:r>
    </w:p>
    <w:p w:rsidR="006B7836" w:rsidRDefault="006B7836" w:rsidP="006B7836">
      <w:pPr>
        <w:ind w:right="-284"/>
        <w:rPr>
          <w:b/>
          <w:bCs/>
          <w:sz w:val="28"/>
          <w:szCs w:val="28"/>
          <w:rtl/>
        </w:rPr>
      </w:pPr>
      <w:r>
        <w:rPr>
          <w:b/>
          <w:bCs/>
          <w:sz w:val="28"/>
          <w:szCs w:val="28"/>
          <w:rtl/>
        </w:rPr>
        <w:t>בשם קופת חולים לאומית – עו"ד פז מוזר</w:t>
      </w:r>
    </w:p>
    <w:p w:rsidR="006B7836" w:rsidRDefault="006B7836" w:rsidP="006B7836">
      <w:pPr>
        <w:ind w:right="-284"/>
        <w:rPr>
          <w:b/>
          <w:bCs/>
          <w:sz w:val="28"/>
          <w:szCs w:val="28"/>
          <w:rtl/>
        </w:rPr>
      </w:pPr>
      <w:r>
        <w:rPr>
          <w:b/>
          <w:bCs/>
          <w:sz w:val="28"/>
          <w:szCs w:val="28"/>
          <w:rtl/>
        </w:rPr>
        <w:t>בשם המוסד לביטוח לאומי – עו"ד דנה תמר פרבר</w:t>
      </w:r>
    </w:p>
    <w:p w:rsidR="006B7836" w:rsidRDefault="006B7836" w:rsidP="006B7836">
      <w:pPr>
        <w:ind w:right="-284"/>
        <w:rPr>
          <w:b/>
          <w:bCs/>
          <w:sz w:val="28"/>
          <w:szCs w:val="28"/>
          <w:rtl/>
        </w:rPr>
      </w:pPr>
      <w:r>
        <w:rPr>
          <w:b/>
          <w:bCs/>
          <w:sz w:val="28"/>
          <w:szCs w:val="28"/>
          <w:rtl/>
        </w:rPr>
        <w:t>בשם קופת חולים מאוחדת – עו"ד דן גיורא</w:t>
      </w:r>
    </w:p>
    <w:p w:rsidR="006B7836" w:rsidRDefault="006B7836" w:rsidP="006B7836">
      <w:pPr>
        <w:ind w:right="-284"/>
        <w:rPr>
          <w:b/>
          <w:bCs/>
          <w:sz w:val="28"/>
          <w:szCs w:val="28"/>
          <w:rtl/>
        </w:rPr>
      </w:pPr>
      <w:r>
        <w:rPr>
          <w:b/>
          <w:bCs/>
          <w:sz w:val="28"/>
          <w:szCs w:val="28"/>
          <w:rtl/>
        </w:rPr>
        <w:t>בשם קופת חולים מכבי – עו"ד לירון חבוט</w:t>
      </w:r>
    </w:p>
    <w:p w:rsidR="006B7836" w:rsidRDefault="006B7836" w:rsidP="006B7836">
      <w:pPr>
        <w:ind w:right="-284"/>
        <w:rPr>
          <w:rtl/>
        </w:rPr>
      </w:pPr>
    </w:p>
    <w:p w:rsidR="006B7836" w:rsidRDefault="006B7836" w:rsidP="006B7836">
      <w:pPr>
        <w:spacing w:before="240" w:after="240"/>
        <w:ind w:right="-284"/>
        <w:jc w:val="center"/>
        <w:rPr>
          <w:b/>
          <w:bCs/>
          <w:sz w:val="32"/>
          <w:szCs w:val="32"/>
          <w:u w:val="single"/>
          <w:rtl/>
        </w:rPr>
      </w:pPr>
      <w:r>
        <w:rPr>
          <w:b/>
          <w:bCs/>
          <w:sz w:val="36"/>
          <w:szCs w:val="36"/>
          <w:u w:val="single"/>
          <w:rtl/>
        </w:rPr>
        <w:t>פסק דין</w:t>
      </w:r>
    </w:p>
    <w:p w:rsidR="006B7836" w:rsidRDefault="006B7836" w:rsidP="006B7836">
      <w:pPr>
        <w:spacing w:after="120" w:line="360" w:lineRule="auto"/>
        <w:ind w:right="-284" w:firstLine="284"/>
        <w:jc w:val="both"/>
        <w:rPr>
          <w:rFonts w:ascii="David" w:hAnsi="David"/>
          <w:b/>
          <w:bCs/>
          <w:sz w:val="28"/>
          <w:szCs w:val="28"/>
          <w:u w:val="single"/>
          <w:rtl/>
        </w:rPr>
      </w:pPr>
      <w:r>
        <w:rPr>
          <w:rFonts w:ascii="David" w:hAnsi="David"/>
          <w:b/>
          <w:bCs/>
          <w:sz w:val="32"/>
          <w:szCs w:val="32"/>
          <w:u w:val="single"/>
          <w:rtl/>
        </w:rPr>
        <w:t>השופטת לאה גליקסמן</w:t>
      </w:r>
    </w:p>
    <w:p w:rsidR="006B7836" w:rsidRDefault="006B7836" w:rsidP="006B7836">
      <w:pPr>
        <w:numPr>
          <w:ilvl w:val="0"/>
          <w:numId w:val="1"/>
        </w:numPr>
        <w:spacing w:after="120" w:line="360" w:lineRule="auto"/>
        <w:ind w:left="284" w:right="-284" w:hanging="426"/>
        <w:contextualSpacing/>
        <w:jc w:val="both"/>
        <w:rPr>
          <w:rFonts w:ascii="David" w:hAnsi="David"/>
          <w:sz w:val="28"/>
          <w:szCs w:val="28"/>
          <w:rtl/>
        </w:rPr>
      </w:pPr>
      <w:r>
        <w:rPr>
          <w:rFonts w:ascii="David" w:hAnsi="David"/>
          <w:sz w:val="28"/>
          <w:szCs w:val="28"/>
          <w:rtl/>
        </w:rPr>
        <w:t xml:space="preserve">עניינו של הליך זה – הזכות לטיפול סיעודי של נפגע עבודה, אופן מימושה ושיעור חלקה של קופת חולים במימון טיפול סיעודי לנפגע עבודה. שאלות אלה באות לפתחנו במסגרת שני ערעורים. </w:t>
      </w:r>
      <w:r>
        <w:rPr>
          <w:rFonts w:ascii="David" w:hAnsi="David"/>
          <w:b/>
          <w:bCs/>
          <w:sz w:val="28"/>
          <w:szCs w:val="28"/>
          <w:rtl/>
        </w:rPr>
        <w:t>האחד</w:t>
      </w:r>
      <w:r>
        <w:rPr>
          <w:rFonts w:ascii="David" w:hAnsi="David"/>
          <w:sz w:val="28"/>
          <w:szCs w:val="28"/>
          <w:rtl/>
        </w:rPr>
        <w:t xml:space="preserve"> - עב"ל 55089-01-16, על פסק דינו של בית הדין האזורי חיפה (השופטת עפרה ורבנר ונציגי הציבור מר דניאל אמזלג ומר דן איל; ב"ל 40988-11-11; להלן – </w:t>
      </w:r>
      <w:r>
        <w:rPr>
          <w:rFonts w:ascii="David" w:hAnsi="David"/>
          <w:b/>
          <w:bCs/>
          <w:sz w:val="28"/>
          <w:szCs w:val="28"/>
          <w:rtl/>
        </w:rPr>
        <w:t>ערעור נאמן</w:t>
      </w:r>
      <w:r>
        <w:rPr>
          <w:rFonts w:ascii="David" w:hAnsi="David"/>
          <w:sz w:val="28"/>
          <w:szCs w:val="28"/>
          <w:rtl/>
        </w:rPr>
        <w:t xml:space="preserve">); </w:t>
      </w:r>
      <w:r>
        <w:rPr>
          <w:rFonts w:ascii="David" w:hAnsi="David"/>
          <w:b/>
          <w:bCs/>
          <w:sz w:val="28"/>
          <w:szCs w:val="28"/>
          <w:rtl/>
        </w:rPr>
        <w:t>והשני</w:t>
      </w:r>
      <w:r>
        <w:rPr>
          <w:rFonts w:ascii="David" w:hAnsi="David"/>
          <w:sz w:val="28"/>
          <w:szCs w:val="28"/>
          <w:rtl/>
        </w:rPr>
        <w:t xml:space="preserve"> - ע"ע 40779-05-17, על פסק דינו של בית הדין </w:t>
      </w:r>
      <w:r>
        <w:rPr>
          <w:rFonts w:ascii="David" w:hAnsi="David"/>
          <w:sz w:val="28"/>
          <w:szCs w:val="28"/>
          <w:rtl/>
        </w:rPr>
        <w:lastRenderedPageBreak/>
        <w:t xml:space="preserve">האזורי תל-אביב (השופט דורי ספיבק ונציגות הציבור גב' שרה אבן וגב' שוש סוזן סמק; חב"ר 10635-10-13; להלן – </w:t>
      </w:r>
      <w:r>
        <w:rPr>
          <w:rFonts w:ascii="David" w:hAnsi="David"/>
          <w:b/>
          <w:bCs/>
          <w:sz w:val="28"/>
          <w:szCs w:val="28"/>
          <w:rtl/>
        </w:rPr>
        <w:t>ערעור בגו</w:t>
      </w:r>
      <w:r>
        <w:rPr>
          <w:rFonts w:ascii="David" w:hAnsi="David"/>
          <w:sz w:val="28"/>
          <w:szCs w:val="28"/>
          <w:rtl/>
        </w:rPr>
        <w:t>).</w:t>
      </w:r>
    </w:p>
    <w:p w:rsidR="006B7836" w:rsidRDefault="006B7836" w:rsidP="006B7836">
      <w:pPr>
        <w:numPr>
          <w:ilvl w:val="0"/>
          <w:numId w:val="1"/>
        </w:numPr>
        <w:spacing w:after="120" w:line="360" w:lineRule="auto"/>
        <w:ind w:left="284" w:right="-284" w:hanging="426"/>
        <w:contextualSpacing/>
        <w:jc w:val="both"/>
        <w:rPr>
          <w:rFonts w:ascii="David" w:hAnsi="David"/>
          <w:sz w:val="28"/>
          <w:szCs w:val="28"/>
        </w:rPr>
      </w:pPr>
      <w:r>
        <w:rPr>
          <w:rFonts w:ascii="David" w:hAnsi="David"/>
          <w:sz w:val="28"/>
          <w:szCs w:val="28"/>
          <w:rtl/>
        </w:rPr>
        <w:t xml:space="preserve">נוכח השאלות המשותפות בשני הערעורים אוחד הדיון בהם. כמו כן, נוכח השלכות הרוחב של ההכרעה בהליך זה על כל קופות החולים (להלן גם – </w:t>
      </w:r>
      <w:r>
        <w:rPr>
          <w:rFonts w:ascii="David" w:hAnsi="David"/>
          <w:b/>
          <w:bCs/>
          <w:sz w:val="28"/>
          <w:szCs w:val="28"/>
          <w:rtl/>
        </w:rPr>
        <w:t>הקופות</w:t>
      </w:r>
      <w:r>
        <w:rPr>
          <w:rFonts w:ascii="David" w:hAnsi="David"/>
          <w:sz w:val="28"/>
          <w:szCs w:val="28"/>
          <w:rtl/>
        </w:rPr>
        <w:t xml:space="preserve">), ניתנה אפשרות גם לקופות החולים שאינן צדדים ישירים להליכים (קופת חולים מאוחדת (להלן – </w:t>
      </w:r>
      <w:r>
        <w:rPr>
          <w:rFonts w:ascii="David" w:hAnsi="David"/>
          <w:b/>
          <w:bCs/>
          <w:sz w:val="28"/>
          <w:szCs w:val="28"/>
          <w:rtl/>
        </w:rPr>
        <w:t>מאוחדת</w:t>
      </w:r>
      <w:r>
        <w:rPr>
          <w:rFonts w:ascii="David" w:hAnsi="David"/>
          <w:sz w:val="28"/>
          <w:szCs w:val="28"/>
          <w:rtl/>
        </w:rPr>
        <w:t xml:space="preserve">) ומכבי שירות בריאות (להלן – </w:t>
      </w:r>
      <w:r>
        <w:rPr>
          <w:rFonts w:ascii="David" w:hAnsi="David"/>
          <w:b/>
          <w:bCs/>
          <w:sz w:val="28"/>
          <w:szCs w:val="28"/>
          <w:rtl/>
        </w:rPr>
        <w:t>מכבי</w:t>
      </w:r>
      <w:r>
        <w:rPr>
          <w:rFonts w:ascii="David" w:hAnsi="David"/>
          <w:sz w:val="28"/>
          <w:szCs w:val="28"/>
          <w:rtl/>
        </w:rPr>
        <w:t xml:space="preserve">)) להגיש את עמדתן. </w:t>
      </w:r>
    </w:p>
    <w:p w:rsidR="006B7836" w:rsidRDefault="006B7836" w:rsidP="006B7836">
      <w:pPr>
        <w:numPr>
          <w:ilvl w:val="0"/>
          <w:numId w:val="1"/>
        </w:numPr>
        <w:spacing w:after="120" w:line="360" w:lineRule="auto"/>
        <w:ind w:left="284" w:right="-284" w:hanging="426"/>
        <w:contextualSpacing/>
        <w:jc w:val="both"/>
        <w:rPr>
          <w:rFonts w:ascii="David" w:hAnsi="David"/>
          <w:sz w:val="28"/>
          <w:szCs w:val="28"/>
        </w:rPr>
      </w:pPr>
      <w:r>
        <w:rPr>
          <w:rFonts w:ascii="David" w:hAnsi="David"/>
          <w:sz w:val="28"/>
          <w:szCs w:val="28"/>
          <w:rtl/>
        </w:rPr>
        <w:t xml:space="preserve">את המסגרת הנורמטיבית להכרעה בערעורים שלפנינו, נכון לתקופה הרלוונטית לתביעות, נפרט בהרחבה בהמשך (ראו סעיף 34 ואילך להלן). בשלב זה, נפרט בתמצית את הנדרש להבנת פסקי הדין של בתי הדין האזוריים. </w:t>
      </w:r>
    </w:p>
    <w:p w:rsidR="006B7836" w:rsidRDefault="006B7836" w:rsidP="006B7836">
      <w:pPr>
        <w:spacing w:after="120" w:line="360" w:lineRule="auto"/>
        <w:ind w:left="284" w:right="-284"/>
        <w:contextualSpacing/>
        <w:jc w:val="both"/>
        <w:rPr>
          <w:rFonts w:ascii="David" w:hAnsi="David"/>
          <w:sz w:val="28"/>
          <w:szCs w:val="28"/>
        </w:rPr>
      </w:pPr>
      <w:r>
        <w:rPr>
          <w:rFonts w:ascii="David" w:hAnsi="David"/>
          <w:sz w:val="28"/>
          <w:szCs w:val="28"/>
          <w:rtl/>
        </w:rPr>
        <w:t xml:space="preserve">על פי סעיף 86(א) לחוק הביטוח הלאומי [נוסח משולב], התשנ"ה - 1995 (להלן – </w:t>
      </w:r>
      <w:r>
        <w:rPr>
          <w:rFonts w:ascii="David" w:hAnsi="David"/>
          <w:b/>
          <w:bCs/>
          <w:sz w:val="28"/>
          <w:szCs w:val="28"/>
          <w:rtl/>
        </w:rPr>
        <w:t>החוק</w:t>
      </w:r>
      <w:r>
        <w:rPr>
          <w:rFonts w:ascii="David" w:hAnsi="David"/>
          <w:sz w:val="28"/>
          <w:szCs w:val="28"/>
          <w:rtl/>
        </w:rPr>
        <w:t xml:space="preserve"> או </w:t>
      </w:r>
      <w:r>
        <w:rPr>
          <w:rFonts w:ascii="David" w:hAnsi="David"/>
          <w:b/>
          <w:bCs/>
          <w:sz w:val="28"/>
          <w:szCs w:val="28"/>
          <w:rtl/>
        </w:rPr>
        <w:t>חוק הביטוח הלאומי</w:t>
      </w:r>
      <w:r>
        <w:rPr>
          <w:rFonts w:ascii="David" w:hAnsi="David"/>
          <w:sz w:val="28"/>
          <w:szCs w:val="28"/>
          <w:rtl/>
        </w:rPr>
        <w:t>), "</w:t>
      </w:r>
      <w:r>
        <w:rPr>
          <w:rFonts w:ascii="David" w:hAnsi="David"/>
          <w:b/>
          <w:bCs/>
          <w:sz w:val="28"/>
          <w:szCs w:val="28"/>
          <w:rtl/>
        </w:rPr>
        <w:t xml:space="preserve">פגיעה בעבודה מזכה את המבוטח לריפוי, להחלמה, לשיקום רפואי ולשיקום מקצועי, בהתאם להוראות סימן זה". </w:t>
      </w:r>
      <w:r>
        <w:rPr>
          <w:rFonts w:ascii="David" w:hAnsi="David"/>
          <w:sz w:val="28"/>
          <w:szCs w:val="28"/>
          <w:rtl/>
        </w:rPr>
        <w:t xml:space="preserve">סעיף 89(א)(3) לחוק קובע כי ניתן ליתן את הריפוי, ההחלמה, השיקום הרפואי והשיקום המקצועי </w:t>
      </w:r>
      <w:r>
        <w:rPr>
          <w:rFonts w:ascii="David" w:hAnsi="David"/>
          <w:b/>
          <w:bCs/>
          <w:sz w:val="28"/>
          <w:szCs w:val="28"/>
          <w:rtl/>
        </w:rPr>
        <w:t>"באמצעות גוף שהשר הסמיכו כשירות רפואי לאחר שהתייעץ עם שר הבריאות"</w:t>
      </w:r>
      <w:r>
        <w:rPr>
          <w:rFonts w:ascii="David" w:hAnsi="David"/>
          <w:sz w:val="28"/>
          <w:szCs w:val="28"/>
          <w:rtl/>
        </w:rPr>
        <w:t>. ואכן, קופות החולים השונות הוסמכו על ידי השר כ</w:t>
      </w:r>
      <w:r>
        <w:rPr>
          <w:rFonts w:ascii="David" w:hAnsi="David"/>
          <w:b/>
          <w:bCs/>
          <w:sz w:val="28"/>
          <w:szCs w:val="28"/>
          <w:rtl/>
        </w:rPr>
        <w:t>"שירות רפואי"</w:t>
      </w:r>
      <w:r>
        <w:rPr>
          <w:rFonts w:ascii="David" w:hAnsi="David"/>
          <w:sz w:val="28"/>
          <w:szCs w:val="28"/>
          <w:rtl/>
        </w:rPr>
        <w:t xml:space="preserve"> לעניין מתן טיפול רפואי לנפגעי עבודה. בסעיף 91 לחוק נקבע כי "</w:t>
      </w:r>
      <w:r>
        <w:rPr>
          <w:rFonts w:ascii="David" w:hAnsi="David"/>
          <w:b/>
          <w:bCs/>
          <w:sz w:val="28"/>
          <w:szCs w:val="28"/>
          <w:rtl/>
        </w:rPr>
        <w:t>היחסים בין המוסד ובין מי שבאמצעותו ניתנות גמלאות בעין לפי סימן זה, והחובות והזכויות ההדדיות, ייקבעו בהסכם שאישר השר במידה שלא קבע אותם בתקנות</w:t>
      </w:r>
      <w:r>
        <w:rPr>
          <w:rFonts w:ascii="David" w:hAnsi="David"/>
          <w:sz w:val="28"/>
          <w:szCs w:val="28"/>
          <w:rtl/>
        </w:rPr>
        <w:t xml:space="preserve">". </w:t>
      </w:r>
    </w:p>
    <w:p w:rsidR="006B7836" w:rsidRDefault="006B7836" w:rsidP="006B7836">
      <w:pPr>
        <w:spacing w:after="120" w:line="360" w:lineRule="auto"/>
        <w:ind w:left="284" w:right="-284"/>
        <w:contextualSpacing/>
        <w:jc w:val="both"/>
        <w:rPr>
          <w:rFonts w:ascii="David" w:hAnsi="David"/>
          <w:sz w:val="28"/>
          <w:szCs w:val="28"/>
        </w:rPr>
      </w:pPr>
      <w:r>
        <w:rPr>
          <w:rFonts w:ascii="David" w:hAnsi="David"/>
          <w:sz w:val="28"/>
          <w:szCs w:val="28"/>
          <w:rtl/>
        </w:rPr>
        <w:t xml:space="preserve">הסכמים כאמור בסעיף 91 לחוק נחתמו מעת לעת בין המוסד לביטוח לאומי (להלן – </w:t>
      </w:r>
      <w:r>
        <w:rPr>
          <w:rFonts w:ascii="David" w:hAnsi="David"/>
          <w:b/>
          <w:bCs/>
          <w:sz w:val="28"/>
          <w:szCs w:val="28"/>
          <w:rtl/>
        </w:rPr>
        <w:t>המוסד</w:t>
      </w:r>
      <w:r>
        <w:rPr>
          <w:rFonts w:ascii="David" w:hAnsi="David"/>
          <w:sz w:val="28"/>
          <w:szCs w:val="28"/>
          <w:rtl/>
        </w:rPr>
        <w:t xml:space="preserve">) ובין קופות החולים השונות. בפסקי הדין האזוריים מושא הליך זה נדונו בעיקרו של דבר הסכמים משנת 1990 ומשנת 2003. בחודש אוקטובר 2013 פורסם קובץ "קווים מנחים למתן טיפול רפואי לנפגעי עבודה" (להלן - </w:t>
      </w:r>
      <w:r>
        <w:rPr>
          <w:rFonts w:ascii="David" w:hAnsi="David"/>
          <w:b/>
          <w:bCs/>
          <w:sz w:val="28"/>
          <w:szCs w:val="28"/>
          <w:rtl/>
        </w:rPr>
        <w:t>מסמך הקווים המנחים</w:t>
      </w:r>
      <w:r>
        <w:rPr>
          <w:rFonts w:ascii="David" w:hAnsi="David"/>
          <w:sz w:val="28"/>
          <w:szCs w:val="28"/>
          <w:rtl/>
        </w:rPr>
        <w:t xml:space="preserve">), עליו חתומים מנכ"ל שירותי בריאות כללית ומנכ"ל המוסד. תוקפו ונפקותו של מסמך הקווים המנחים שנויים במחלוקת. </w:t>
      </w:r>
    </w:p>
    <w:p w:rsidR="006B7836" w:rsidRDefault="006B7836" w:rsidP="006B7836">
      <w:pPr>
        <w:spacing w:after="120" w:line="360" w:lineRule="auto"/>
        <w:ind w:left="284" w:right="-284"/>
        <w:contextualSpacing/>
        <w:jc w:val="both"/>
        <w:rPr>
          <w:rFonts w:ascii="David" w:hAnsi="David"/>
          <w:sz w:val="28"/>
          <w:szCs w:val="28"/>
          <w:rtl/>
        </w:rPr>
      </w:pPr>
      <w:r>
        <w:rPr>
          <w:rFonts w:ascii="David" w:hAnsi="David"/>
          <w:sz w:val="28"/>
          <w:szCs w:val="28"/>
          <w:rtl/>
        </w:rPr>
        <w:t xml:space="preserve">עוד נציין כי החל מיום 1.1.2016 חל שינוי חקיקתי, והאחריות למתן טיפול רפואי אשר נובע מהפגיעה בעבודה הכלול בסל הבריאות מוטלת על קופות החולים. בהמשך לכך, בחודש מאי 2016 נחתם הסכם חדש בין המוסד לבין קופות החולים (להלן – </w:t>
      </w:r>
      <w:r>
        <w:rPr>
          <w:rFonts w:ascii="David" w:hAnsi="David"/>
          <w:b/>
          <w:bCs/>
          <w:sz w:val="28"/>
          <w:szCs w:val="28"/>
          <w:rtl/>
        </w:rPr>
        <w:t>הסכם 2016</w:t>
      </w:r>
      <w:r>
        <w:rPr>
          <w:rFonts w:ascii="David" w:hAnsi="David"/>
          <w:sz w:val="28"/>
          <w:szCs w:val="28"/>
          <w:rtl/>
        </w:rPr>
        <w:t xml:space="preserve">). </w:t>
      </w:r>
    </w:p>
    <w:p w:rsidR="006B7836" w:rsidRDefault="006B7836" w:rsidP="006B7836">
      <w:pPr>
        <w:spacing w:after="120" w:line="360" w:lineRule="auto"/>
        <w:ind w:left="284" w:right="-284"/>
        <w:contextualSpacing/>
        <w:jc w:val="both"/>
        <w:rPr>
          <w:rFonts w:asciiTheme="minorHAnsi" w:hAnsiTheme="minorHAnsi"/>
          <w:sz w:val="28"/>
          <w:szCs w:val="28"/>
          <w:rtl/>
        </w:rPr>
      </w:pPr>
      <w:r>
        <w:rPr>
          <w:rFonts w:ascii="David" w:hAnsi="David"/>
          <w:sz w:val="28"/>
          <w:szCs w:val="28"/>
          <w:rtl/>
        </w:rPr>
        <w:t xml:space="preserve">כידוע מעבר לגמלאות בעין, להן זכאי נפגע על פי סעיף 86 לחוק, נפגע עבודה זכאי גם לקצבאות ומענקים כספיים. על פי סעיף 112(א) לחוק זכאי נפגע עבודה שנקבעה לו דרגת נכות יציבה בשיעור של 75% לפחות </w:t>
      </w:r>
      <w:r>
        <w:rPr>
          <w:rFonts w:ascii="David" w:hAnsi="David"/>
          <w:b/>
          <w:bCs/>
          <w:sz w:val="28"/>
          <w:szCs w:val="28"/>
          <w:rtl/>
        </w:rPr>
        <w:t xml:space="preserve">"בנוסף לכל גמלה אחרת לקצבה מיוחדת </w:t>
      </w:r>
      <w:r>
        <w:rPr>
          <w:rFonts w:ascii="David" w:hAnsi="David"/>
          <w:b/>
          <w:bCs/>
          <w:sz w:val="28"/>
          <w:szCs w:val="28"/>
          <w:rtl/>
        </w:rPr>
        <w:lastRenderedPageBreak/>
        <w:t>להחזקתו האישית או לשיקומו המקצועי עקב נכותו, בסכומים ולפי כללים שנקבעו</w:t>
      </w:r>
      <w:r>
        <w:rPr>
          <w:rFonts w:ascii="David" w:hAnsi="David"/>
          <w:b/>
          <w:bCs/>
          <w:i/>
          <w:iCs/>
          <w:sz w:val="28"/>
          <w:szCs w:val="28"/>
          <w:rtl/>
        </w:rPr>
        <w:t xml:space="preserve"> ...". </w:t>
      </w:r>
      <w:r>
        <w:rPr>
          <w:rFonts w:asciiTheme="minorHAnsi" w:hAnsiTheme="minorHAnsi"/>
          <w:sz w:val="28"/>
          <w:szCs w:val="28"/>
          <w:rtl/>
        </w:rPr>
        <w:t xml:space="preserve">על פי תקנה 10 לתקנות הביטוח הלאומי (מענק מיוחד וקצבה מיוחדת לנכים), תשכ"ה – 1965, שיעור הקצבה המיוחדת נגזר בעיקר מרמת התלות של נכה העבודה בעזרת הזולת בביצוע פעולות היום יום. </w:t>
      </w:r>
    </w:p>
    <w:p w:rsidR="006B7836" w:rsidRDefault="006B7836" w:rsidP="006B7836">
      <w:pPr>
        <w:numPr>
          <w:ilvl w:val="0"/>
          <w:numId w:val="1"/>
        </w:numPr>
        <w:spacing w:after="120" w:line="360" w:lineRule="auto"/>
        <w:ind w:left="284" w:right="-284" w:hanging="426"/>
        <w:contextualSpacing/>
        <w:jc w:val="both"/>
        <w:rPr>
          <w:rFonts w:ascii="David" w:hAnsi="David"/>
          <w:sz w:val="28"/>
          <w:szCs w:val="28"/>
          <w:rtl/>
        </w:rPr>
      </w:pPr>
      <w:r>
        <w:rPr>
          <w:rFonts w:ascii="David" w:hAnsi="David"/>
          <w:sz w:val="28"/>
          <w:szCs w:val="28"/>
          <w:rtl/>
        </w:rPr>
        <w:t xml:space="preserve">המחלוקות העיקריות בין גב' נאמן ומר בגו (להלן יחד – </w:t>
      </w:r>
      <w:r>
        <w:rPr>
          <w:rFonts w:ascii="David" w:hAnsi="David"/>
          <w:b/>
          <w:bCs/>
          <w:sz w:val="28"/>
          <w:szCs w:val="28"/>
          <w:rtl/>
        </w:rPr>
        <w:t>המערערים</w:t>
      </w:r>
      <w:r>
        <w:rPr>
          <w:rFonts w:ascii="David" w:hAnsi="David"/>
          <w:sz w:val="28"/>
          <w:szCs w:val="28"/>
          <w:rtl/>
        </w:rPr>
        <w:t xml:space="preserve">) מזה לבין המוסד וקופות החולים מזה הן מהותו והיקפו של הטיפול הסיעודי אותו חבות הקופות ליתן לנפגע עבודה על פי החוק ועל פי הוראות ההסכם ביניהן לבין המוסד ותחשיב השתתפות קופות החולים במימון טיפול סיעודי לנפגע עבודה. בהתייחס לשתי מחלוקות אלה, חלוקים הצדדים גם על מהות הקצבה המיוחדת, תכליתה והרלוונטיות שלה לעניין תחשיב השתתפות הקופות במימון טיפול סיעודי לנפגע עבודה. </w:t>
      </w:r>
    </w:p>
    <w:p w:rsidR="006B7836" w:rsidRDefault="006B7836" w:rsidP="006B7836">
      <w:pPr>
        <w:numPr>
          <w:ilvl w:val="0"/>
          <w:numId w:val="1"/>
        </w:numPr>
        <w:spacing w:after="240" w:line="360" w:lineRule="auto"/>
        <w:ind w:left="284" w:right="-284" w:hanging="284"/>
        <w:jc w:val="both"/>
        <w:rPr>
          <w:rFonts w:ascii="David" w:hAnsi="David"/>
          <w:sz w:val="28"/>
          <w:szCs w:val="28"/>
        </w:rPr>
      </w:pPr>
      <w:r>
        <w:rPr>
          <w:rFonts w:ascii="David" w:hAnsi="David"/>
          <w:sz w:val="28"/>
          <w:szCs w:val="28"/>
          <w:rtl/>
        </w:rPr>
        <w:t xml:space="preserve">וזה יהיה סדר הדיון בהליך: תחילה נפרט את הרקע העובדתי ואת פסק דינו של בית הדין האזורי בכל אחד משני הערעורים; בהמשך, נבהיר את מסגרת הדיון בערעורים ונציג את השאלות העיקריות השנויות במחלוקת בין הצדדים. אחר זאת, נפרט את המסגרת הנורמטיבית הרלוונטית להכרעה בערעורים, ונדון בשאלות השנויות במחלוקת בין הצדדים. </w:t>
      </w:r>
    </w:p>
    <w:p w:rsidR="006B7836" w:rsidRDefault="006B7836" w:rsidP="006B7836">
      <w:pPr>
        <w:spacing w:line="360" w:lineRule="auto"/>
        <w:ind w:left="283" w:right="-284"/>
        <w:contextualSpacing/>
        <w:jc w:val="both"/>
        <w:rPr>
          <w:rFonts w:ascii="David" w:hAnsi="David"/>
          <w:b/>
          <w:bCs/>
          <w:sz w:val="28"/>
          <w:szCs w:val="28"/>
          <w:u w:val="single"/>
          <w:rtl/>
        </w:rPr>
      </w:pPr>
      <w:r>
        <w:rPr>
          <w:rFonts w:ascii="David" w:hAnsi="David"/>
          <w:b/>
          <w:bCs/>
          <w:sz w:val="28"/>
          <w:szCs w:val="28"/>
          <w:u w:val="single"/>
          <w:rtl/>
        </w:rPr>
        <w:t>ערעור נאמן</w:t>
      </w:r>
    </w:p>
    <w:p w:rsidR="006B7836" w:rsidRDefault="006B7836" w:rsidP="006B7836">
      <w:pPr>
        <w:numPr>
          <w:ilvl w:val="0"/>
          <w:numId w:val="1"/>
        </w:numPr>
        <w:spacing w:line="360" w:lineRule="auto"/>
        <w:ind w:left="283" w:right="-284" w:hanging="283"/>
        <w:contextualSpacing/>
        <w:jc w:val="both"/>
        <w:rPr>
          <w:rFonts w:ascii="David" w:hAnsi="David"/>
          <w:sz w:val="28"/>
          <w:szCs w:val="28"/>
        </w:rPr>
      </w:pPr>
      <w:r>
        <w:rPr>
          <w:rFonts w:ascii="David" w:hAnsi="David"/>
          <w:sz w:val="28"/>
          <w:szCs w:val="28"/>
          <w:rtl/>
        </w:rPr>
        <w:t xml:space="preserve">התובע המקורי בתובענה מושא ערעור זה היה מר שמואל נאמן ז"ל (להלן – </w:t>
      </w:r>
      <w:r>
        <w:rPr>
          <w:rFonts w:ascii="David" w:hAnsi="David"/>
          <w:b/>
          <w:bCs/>
          <w:sz w:val="28"/>
          <w:szCs w:val="28"/>
          <w:rtl/>
        </w:rPr>
        <w:t>המנוח</w:t>
      </w:r>
      <w:r>
        <w:rPr>
          <w:rFonts w:ascii="David" w:hAnsi="David"/>
          <w:sz w:val="28"/>
          <w:szCs w:val="28"/>
          <w:rtl/>
        </w:rPr>
        <w:t>), אשר למרבה הצער נפטר בעוד הערעור תלוי ועומד, ואלמנתו היא המערערת בהליך זה.</w:t>
      </w:r>
    </w:p>
    <w:p w:rsidR="006B7836" w:rsidRDefault="006B7836" w:rsidP="006B7836">
      <w:pPr>
        <w:numPr>
          <w:ilvl w:val="0"/>
          <w:numId w:val="1"/>
        </w:numPr>
        <w:spacing w:line="360" w:lineRule="auto"/>
        <w:ind w:left="283" w:right="-284" w:hanging="283"/>
        <w:contextualSpacing/>
        <w:jc w:val="both"/>
        <w:rPr>
          <w:rFonts w:ascii="David" w:hAnsi="David"/>
          <w:sz w:val="28"/>
          <w:szCs w:val="28"/>
        </w:rPr>
      </w:pPr>
      <w:r>
        <w:rPr>
          <w:rFonts w:ascii="David" w:hAnsi="David"/>
          <w:sz w:val="28"/>
          <w:szCs w:val="28"/>
          <w:rtl/>
        </w:rPr>
        <w:t>המנוח, יליד שנת 1941, נפגע במהלך עבודתו בשתי תאונות אשר הוכרו על ידי המוסד כתאונות עבודה לפי החוק. התאונה האחת אירעה ביום 8.10.1991, ובה לקה המנוח באירוע מוחי; והתאונה השנייה אירעה ביום 17.10.1996, ובה לקה המנוח באירוע לב.</w:t>
      </w:r>
    </w:p>
    <w:p w:rsidR="006B7836" w:rsidRDefault="006B7836" w:rsidP="006B7836">
      <w:pPr>
        <w:numPr>
          <w:ilvl w:val="0"/>
          <w:numId w:val="1"/>
        </w:numPr>
        <w:spacing w:line="360" w:lineRule="auto"/>
        <w:ind w:left="283" w:right="-284" w:hanging="283"/>
        <w:contextualSpacing/>
        <w:jc w:val="both"/>
        <w:rPr>
          <w:rFonts w:ascii="David" w:hAnsi="David"/>
          <w:b/>
          <w:bCs/>
          <w:sz w:val="28"/>
          <w:szCs w:val="28"/>
        </w:rPr>
      </w:pPr>
      <w:r>
        <w:rPr>
          <w:rFonts w:ascii="David" w:hAnsi="David"/>
          <w:sz w:val="28"/>
          <w:szCs w:val="28"/>
          <w:rtl/>
        </w:rPr>
        <w:t xml:space="preserve">מאז חודש נובמבר 2010, החל המנוח להיעזר בביתו בשירותיו של עובד זר שהתגורר עמו וטיפל בו לאורך כל שעות היממה. המנוח הגיש לקופת החולים לאומית (להלן – </w:t>
      </w:r>
      <w:r>
        <w:rPr>
          <w:rFonts w:ascii="David" w:hAnsi="David"/>
          <w:b/>
          <w:bCs/>
          <w:sz w:val="28"/>
          <w:szCs w:val="28"/>
          <w:rtl/>
        </w:rPr>
        <w:t>לאומית</w:t>
      </w:r>
      <w:r>
        <w:rPr>
          <w:rFonts w:ascii="David" w:hAnsi="David"/>
          <w:sz w:val="28"/>
          <w:szCs w:val="28"/>
          <w:rtl/>
        </w:rPr>
        <w:t>), שבה היה מבוטח בקשה למימון הטיפול הסיעודי. לאחר תכתובת בין ב"כ המנוח לבין לאומית, אישרה לאומית במכתבה מיום 3.4.2011 כי מגיע למנוח "</w:t>
      </w:r>
      <w:r>
        <w:rPr>
          <w:rFonts w:ascii="David" w:hAnsi="David"/>
          <w:b/>
          <w:bCs/>
          <w:sz w:val="28"/>
          <w:szCs w:val="28"/>
          <w:rtl/>
        </w:rPr>
        <w:t>השתתפות במימון הוצאות עובד סיעודי רפואי במסגרת תאונת עבודה</w:t>
      </w:r>
      <w:r>
        <w:rPr>
          <w:rFonts w:ascii="David" w:hAnsi="David"/>
          <w:b/>
          <w:bCs/>
          <w:i/>
          <w:iCs/>
          <w:sz w:val="28"/>
          <w:szCs w:val="28"/>
          <w:rtl/>
        </w:rPr>
        <w:t>"</w:t>
      </w:r>
      <w:r>
        <w:rPr>
          <w:rFonts w:ascii="David" w:hAnsi="David"/>
          <w:sz w:val="28"/>
          <w:szCs w:val="28"/>
          <w:rtl/>
        </w:rPr>
        <w:t>. במסגרת אישור זה ציינה לאומית כי היא "</w:t>
      </w:r>
      <w:r>
        <w:rPr>
          <w:rFonts w:ascii="David" w:hAnsi="David"/>
          <w:b/>
          <w:bCs/>
          <w:sz w:val="28"/>
          <w:szCs w:val="28"/>
          <w:rtl/>
        </w:rPr>
        <w:t xml:space="preserve">נושאת בהשתתפות הוצאות טיפול סיעודי רפואי בלבד, בהיקף של 8 שעות ביום לכל היותר ובשיעור מקסימלי של עד שליש משכרו </w:t>
      </w:r>
      <w:r>
        <w:rPr>
          <w:rFonts w:ascii="David" w:hAnsi="David"/>
          <w:b/>
          <w:bCs/>
          <w:sz w:val="28"/>
          <w:szCs w:val="28"/>
          <w:rtl/>
        </w:rPr>
        <w:lastRenderedPageBreak/>
        <w:t>החודשי של העובד הסיעודי, ובכל מקרה לא יותר מ-1655 ₪</w:t>
      </w:r>
      <w:r>
        <w:rPr>
          <w:rFonts w:ascii="David" w:hAnsi="David"/>
          <w:sz w:val="28"/>
          <w:szCs w:val="28"/>
          <w:rtl/>
        </w:rPr>
        <w:t>". בשולי האישור הדגישה הלאומית כי</w:t>
      </w:r>
      <w:r>
        <w:rPr>
          <w:rFonts w:ascii="David" w:hAnsi="David"/>
          <w:b/>
          <w:bCs/>
          <w:sz w:val="28"/>
          <w:szCs w:val="28"/>
          <w:rtl/>
        </w:rPr>
        <w:t xml:space="preserve"> "קופ"ח אינה אמורה לשאת בהוצאות עזרה בחיי היום יום</w:t>
      </w:r>
      <w:r>
        <w:rPr>
          <w:rFonts w:ascii="David" w:hAnsi="David"/>
          <w:sz w:val="28"/>
          <w:szCs w:val="28"/>
          <w:rtl/>
        </w:rPr>
        <w:t>". במכתב נוסף ציינה לאומית בפני ב"כ המנוח כי בהתאם לסעיף 112 לחוק, השתתפותה בהוצאות הטיפול הסיעודי-רפואי כאמור, מותנית בקבלת הכרה מהמוסד לזכאות לקצבה מיוחדת, שנועדה "</w:t>
      </w:r>
      <w:r>
        <w:rPr>
          <w:rFonts w:ascii="David" w:hAnsi="David"/>
          <w:b/>
          <w:bCs/>
          <w:sz w:val="28"/>
          <w:szCs w:val="28"/>
          <w:rtl/>
        </w:rPr>
        <w:t>לממן את 16 השעות הנוספות שהינן בגדר עזרה לזולת והיא משלימה את הטיפול הסיעודי הרפואי הממומן ע"י קופת החולים ולא באה במקומו</w:t>
      </w:r>
      <w:r>
        <w:rPr>
          <w:rFonts w:ascii="David" w:hAnsi="David"/>
          <w:sz w:val="28"/>
          <w:szCs w:val="28"/>
          <w:rtl/>
        </w:rPr>
        <w:t xml:space="preserve">". כמו כן, דרשה לאומית כי המנוח יציג אסמכתאות לעניין גובה שכרו של העובד הסיעודי – העתק מחוזה התקשרות עם העובד הסיעודי שבו יפורטו כמות השעות ועלות השירותים והמצאת </w:t>
      </w:r>
      <w:r>
        <w:rPr>
          <w:rFonts w:ascii="David" w:hAnsi="David"/>
          <w:b/>
          <w:bCs/>
          <w:sz w:val="28"/>
          <w:szCs w:val="28"/>
          <w:rtl/>
        </w:rPr>
        <w:t>"קבלות מקור או תלושי שכר"</w:t>
      </w:r>
      <w:r>
        <w:rPr>
          <w:rFonts w:ascii="David" w:hAnsi="David"/>
          <w:sz w:val="28"/>
          <w:szCs w:val="28"/>
          <w:rtl/>
        </w:rPr>
        <w:t xml:space="preserve">. </w:t>
      </w:r>
    </w:p>
    <w:p w:rsidR="006B7836" w:rsidRDefault="006B7836" w:rsidP="006B7836">
      <w:pPr>
        <w:numPr>
          <w:ilvl w:val="0"/>
          <w:numId w:val="1"/>
        </w:numPr>
        <w:spacing w:line="360" w:lineRule="auto"/>
        <w:ind w:left="283" w:right="-284" w:hanging="283"/>
        <w:contextualSpacing/>
        <w:jc w:val="both"/>
        <w:rPr>
          <w:rFonts w:ascii="David" w:hAnsi="David"/>
          <w:sz w:val="28"/>
          <w:szCs w:val="28"/>
        </w:rPr>
      </w:pPr>
      <w:r>
        <w:rPr>
          <w:rFonts w:ascii="David" w:hAnsi="David"/>
          <w:sz w:val="28"/>
          <w:szCs w:val="28"/>
          <w:rtl/>
        </w:rPr>
        <w:t xml:space="preserve">אחר זאת, פנה ב"כ המנוח אל המוסד, יידע אותו על עמדת לאומית, ודרש מהמוסד להורות ללאומית לחזור בה מסירובה לשאת בהוצאות הסיעוד שלו; להעמיד את התשלום החודשי על סך 2,500 ₪ בהתאם לצרכיו; ולהימנע מדרישת קבלות וחשבוניות בגין הוצאות שהוציא המנוח בפועל, ותחתן להסתפק באישור בכתב של המנוח על הסכומים שהוציא. </w:t>
      </w:r>
    </w:p>
    <w:p w:rsidR="006B7836" w:rsidRDefault="006B7836" w:rsidP="006B7836">
      <w:pPr>
        <w:numPr>
          <w:ilvl w:val="0"/>
          <w:numId w:val="1"/>
        </w:numPr>
        <w:spacing w:after="120" w:line="360" w:lineRule="auto"/>
        <w:ind w:left="284" w:right="-284" w:hanging="426"/>
        <w:contextualSpacing/>
        <w:jc w:val="both"/>
        <w:rPr>
          <w:rFonts w:ascii="David" w:hAnsi="David"/>
          <w:sz w:val="28"/>
          <w:szCs w:val="28"/>
        </w:rPr>
      </w:pPr>
      <w:r>
        <w:rPr>
          <w:rFonts w:ascii="David" w:hAnsi="David"/>
          <w:sz w:val="28"/>
          <w:szCs w:val="28"/>
          <w:rtl/>
        </w:rPr>
        <w:t xml:space="preserve">במקביל, הגיש המנוח למוסד תביעה לקצבה מיוחדת על פי סעיף 112 לחוק. במכתבו מיום 28.4.2011 השיב המוסד כי על פי הוראת סעיף 112(ב) לחוק, </w:t>
      </w:r>
      <w:r>
        <w:rPr>
          <w:rFonts w:ascii="David" w:hAnsi="David"/>
          <w:b/>
          <w:bCs/>
          <w:sz w:val="28"/>
          <w:szCs w:val="28"/>
          <w:rtl/>
        </w:rPr>
        <w:t>"נכה עבודה שנקבעה לו דרגת נכות לפחות של 75% והיא אינה יציבה, יהיה זכאי לקצבה מיוחדת אם קבעו רופא המוסד או ועדה רפואית ... כי הם סבורים שהדרגה היציבה לא תפחת מ- 75%"</w:t>
      </w:r>
      <w:r>
        <w:rPr>
          <w:rFonts w:ascii="David" w:hAnsi="David"/>
          <w:sz w:val="28"/>
          <w:szCs w:val="28"/>
          <w:rtl/>
        </w:rPr>
        <w:t>, וכי</w:t>
      </w:r>
      <w:r>
        <w:rPr>
          <w:rFonts w:ascii="David" w:hAnsi="David"/>
          <w:b/>
          <w:bCs/>
          <w:sz w:val="28"/>
          <w:szCs w:val="28"/>
          <w:rtl/>
        </w:rPr>
        <w:t xml:space="preserve"> </w:t>
      </w:r>
      <w:r>
        <w:rPr>
          <w:rFonts w:ascii="David" w:hAnsi="David"/>
          <w:sz w:val="28"/>
          <w:szCs w:val="28"/>
          <w:rtl/>
        </w:rPr>
        <w:t xml:space="preserve">נוכח העובדה שלא ניתן לקבוע בשלב זה מה תהיה דרגת הנכות היציבה שתיקבע למנוח, לא ניתן להמשיך לטפל בתביעתו של המנוח לקצבה מיוחדת. </w:t>
      </w:r>
    </w:p>
    <w:p w:rsidR="006B7836" w:rsidRDefault="006B7836" w:rsidP="006B7836">
      <w:pPr>
        <w:spacing w:after="120" w:line="360" w:lineRule="auto"/>
        <w:ind w:left="284" w:right="-284"/>
        <w:contextualSpacing/>
        <w:jc w:val="both"/>
        <w:rPr>
          <w:rFonts w:ascii="David" w:hAnsi="David"/>
          <w:sz w:val="28"/>
          <w:szCs w:val="28"/>
        </w:rPr>
      </w:pPr>
      <w:r>
        <w:rPr>
          <w:rFonts w:ascii="David" w:hAnsi="David"/>
          <w:sz w:val="28"/>
          <w:szCs w:val="28"/>
          <w:rtl/>
        </w:rPr>
        <w:t xml:space="preserve">בהמשך למכתב המוסד, הגיש המנוח תביעה כנגד המוסד, שבה עתר לקבלת קצבה מיוחדת על פי סעיף 112 לחוק (ב"ל 12675-05-11). בכתב התביעה, הדגיש המנוח כי מצבו מתדרדר והוא זקוק לקצבה המיוחדת כדי לממן את העסקת העובד הזר שאושרה על ידי כל הגורמים המוסמכים. </w:t>
      </w:r>
    </w:p>
    <w:p w:rsidR="006B7836" w:rsidRDefault="006B7836" w:rsidP="006B7836">
      <w:pPr>
        <w:numPr>
          <w:ilvl w:val="0"/>
          <w:numId w:val="1"/>
        </w:numPr>
        <w:spacing w:after="120" w:line="360" w:lineRule="auto"/>
        <w:ind w:left="284" w:right="-284" w:hanging="426"/>
        <w:contextualSpacing/>
        <w:jc w:val="both"/>
        <w:rPr>
          <w:rFonts w:ascii="David" w:hAnsi="David"/>
          <w:sz w:val="28"/>
          <w:szCs w:val="28"/>
        </w:rPr>
      </w:pPr>
      <w:r>
        <w:rPr>
          <w:rFonts w:ascii="David" w:hAnsi="David"/>
          <w:sz w:val="28"/>
          <w:szCs w:val="28"/>
          <w:rtl/>
        </w:rPr>
        <w:t xml:space="preserve">בתביעתו מושא הליך זה, שהוגשה עת התביעה בעניין הקצבה המיוחדת הייתה תלויה ועומדת </w:t>
      </w:r>
      <w:r>
        <w:rPr>
          <w:rFonts w:ascii="David" w:hAnsi="David"/>
          <w:b/>
          <w:bCs/>
          <w:sz w:val="28"/>
          <w:szCs w:val="28"/>
          <w:rtl/>
        </w:rPr>
        <w:t>ולפני</w:t>
      </w:r>
      <w:r>
        <w:rPr>
          <w:rFonts w:ascii="David" w:hAnsi="David"/>
          <w:sz w:val="28"/>
          <w:szCs w:val="28"/>
          <w:rtl/>
        </w:rPr>
        <w:t xml:space="preserve"> שאושרה למנוח הקצבה המיוחדת, טען המנוח כי הוא זכאי לקבל מהמוסד ישירות או מלאומית השתתפות מלאה בכל הוצאות הסיעוד, וזאת בלא כל תנאי בכלל ובנוגע לקצבה מיוחדת בפרט.</w:t>
      </w:r>
    </w:p>
    <w:p w:rsidR="006B7836" w:rsidRDefault="006B7836" w:rsidP="006B7836">
      <w:pPr>
        <w:numPr>
          <w:ilvl w:val="0"/>
          <w:numId w:val="1"/>
        </w:numPr>
        <w:spacing w:after="120" w:line="360" w:lineRule="auto"/>
        <w:ind w:left="284" w:right="-284" w:hanging="426"/>
        <w:contextualSpacing/>
        <w:jc w:val="both"/>
        <w:rPr>
          <w:rFonts w:ascii="David" w:hAnsi="David"/>
          <w:sz w:val="28"/>
          <w:szCs w:val="28"/>
        </w:rPr>
      </w:pPr>
      <w:r>
        <w:rPr>
          <w:rFonts w:ascii="David" w:hAnsi="David"/>
          <w:sz w:val="28"/>
          <w:szCs w:val="28"/>
          <w:rtl/>
        </w:rPr>
        <w:t xml:space="preserve">בסופו של יום, ולאחר הליכים רבים, בחודש נובמבר 2015 אושרה למנוח זכאות לקצבה מיוחדת בשיעור המירבי, וזאת רטרואקטיבית, החל מחודש אוגוסט 2011. כמו כן, הוסכם על הצדדים כי </w:t>
      </w:r>
      <w:r>
        <w:rPr>
          <w:rFonts w:ascii="David" w:hAnsi="David"/>
          <w:b/>
          <w:bCs/>
          <w:sz w:val="28"/>
          <w:szCs w:val="28"/>
          <w:rtl/>
        </w:rPr>
        <w:t xml:space="preserve">כל </w:t>
      </w:r>
      <w:r>
        <w:rPr>
          <w:rFonts w:ascii="David" w:hAnsi="David"/>
          <w:sz w:val="28"/>
          <w:szCs w:val="28"/>
          <w:rtl/>
        </w:rPr>
        <w:t xml:space="preserve">מצבו הסיעודי של המנוח קשור לפגיעות מעבודה. </w:t>
      </w:r>
      <w:r>
        <w:rPr>
          <w:rFonts w:ascii="David" w:hAnsi="David"/>
          <w:sz w:val="28"/>
          <w:szCs w:val="28"/>
          <w:rtl/>
        </w:rPr>
        <w:lastRenderedPageBreak/>
        <w:t>המחלוקת שנותרה להכרעת בית הדין האזורי הייתה שיעור השתתפות הלאומית במימון הטיפול הסיעודי.</w:t>
      </w:r>
    </w:p>
    <w:p w:rsidR="006B7836" w:rsidRDefault="006B7836" w:rsidP="006B7836">
      <w:pPr>
        <w:numPr>
          <w:ilvl w:val="0"/>
          <w:numId w:val="1"/>
        </w:numPr>
        <w:spacing w:after="120" w:line="360" w:lineRule="auto"/>
        <w:ind w:left="284" w:right="-284" w:hanging="426"/>
        <w:contextualSpacing/>
        <w:jc w:val="both"/>
        <w:rPr>
          <w:rFonts w:ascii="David" w:hAnsi="David"/>
          <w:sz w:val="28"/>
          <w:szCs w:val="28"/>
        </w:rPr>
      </w:pPr>
      <w:r>
        <w:rPr>
          <w:rFonts w:ascii="David" w:hAnsi="David"/>
          <w:b/>
          <w:bCs/>
          <w:sz w:val="28"/>
          <w:szCs w:val="28"/>
          <w:rtl/>
        </w:rPr>
        <w:t>המנוח טען</w:t>
      </w:r>
      <w:r>
        <w:rPr>
          <w:rFonts w:ascii="David" w:hAnsi="David"/>
          <w:sz w:val="28"/>
          <w:szCs w:val="28"/>
          <w:rtl/>
        </w:rPr>
        <w:t xml:space="preserve"> כי משהוסכם שכל מצבו הסיעודי הוא תולדה של תאונות העבודה, לאומית חייבת במימון מלוא עלות העסקת העובד הסיעודי, וזאת על פי ההסכם בינה לבין המוסד, שאינו מבחין בין טיפול סיעודי רפואי לבין טיפול סיעודי כללי, דהיינו סיוע לביצוע פעולות היום יום; בכל מקרה, גם אם חבות לאומית מוגבלת לשמונה שעות ביום, יש לדחות את טענתה כי שיעור המימון שהיא חבה בו הוא שליש מעלות העסקת עובד זר, אלא עליה לממן עלות העסקה של שמונה שעות ביום, על בסיס שכר המינימום, בתוספת כל הזכויות המגיעות לעובד על פי משפט העבודה המגן – חופשה, הבראה, מחלה, הפקדות לפנסיה וכו'. בהקשר זה נטען כי לא ניתן לבסס את התחשיב על יסוד ההנחה כי העובד הזר עובד 24 שעות ביום, ועל כן תשלום שליש מעלות העסקתו מהווה תשלום בעד שמונה שעות; אין להפלות בין נכה עבודה המקבל את הטיפול הסיעודי בביתו לבין נכה עבודה המאושפז במוסד סיעודי; אין להפלות בין נכה עבודה המעסיק עובד זר לבין נכה עבודה המעסיק עובד ישראלי; הזכאות לקצבה מיוחדת היא </w:t>
      </w:r>
      <w:r>
        <w:rPr>
          <w:rFonts w:ascii="David" w:hAnsi="David"/>
          <w:b/>
          <w:bCs/>
          <w:sz w:val="28"/>
          <w:szCs w:val="28"/>
          <w:rtl/>
        </w:rPr>
        <w:t xml:space="preserve">בנוסף </w:t>
      </w:r>
      <w:r>
        <w:rPr>
          <w:rFonts w:ascii="David" w:hAnsi="David"/>
          <w:sz w:val="28"/>
          <w:szCs w:val="28"/>
          <w:rtl/>
        </w:rPr>
        <w:t xml:space="preserve">לכל גמלה אחרת, ועל כן אין לעובדה כי המנוח זכאי לקצבה מיוחדת השלכה על היקף חבותה של לאומית במימון הטיפול הסיעודי. </w:t>
      </w:r>
    </w:p>
    <w:p w:rsidR="006B7836" w:rsidRDefault="006B7836" w:rsidP="006B7836">
      <w:pPr>
        <w:numPr>
          <w:ilvl w:val="0"/>
          <w:numId w:val="1"/>
        </w:numPr>
        <w:spacing w:after="120" w:line="360" w:lineRule="auto"/>
        <w:ind w:left="284" w:right="-284" w:hanging="426"/>
        <w:contextualSpacing/>
        <w:jc w:val="both"/>
        <w:rPr>
          <w:rFonts w:ascii="David" w:hAnsi="David"/>
          <w:sz w:val="28"/>
          <w:szCs w:val="28"/>
        </w:rPr>
      </w:pPr>
      <w:r>
        <w:rPr>
          <w:rFonts w:ascii="David" w:hAnsi="David"/>
          <w:b/>
          <w:bCs/>
          <w:sz w:val="28"/>
          <w:szCs w:val="28"/>
          <w:rtl/>
        </w:rPr>
        <w:t>המוסד טען</w:t>
      </w:r>
      <w:r>
        <w:rPr>
          <w:rFonts w:ascii="David" w:hAnsi="David"/>
          <w:sz w:val="28"/>
          <w:szCs w:val="28"/>
          <w:rtl/>
        </w:rPr>
        <w:t xml:space="preserve"> כי יש לקבל את האבחנה בין טיפול סיעודי כללי לבין טיפול סיעודי רפואי. על פי ההסכם בין המוסד לבין הלאומית, האחרונה חייבת אך ורק במימון הטיפול הסיעודי הרפואי, ולמימון הטיפול הסיעודי הכללי מיועדת הקצבה המיוחדת; במשך שנים ארוכות ההסכמים שכרת המוסד עם קופות החולים השונות היו למימון הטיפול הסיעודי הרפואי, ועל פי הנוהג המוסכם הוא מוערך בכשליש מיום עבודתו של המטפל הזר (שמונה שעות), ועל כן על קופת החולים לממן שליש מעלות ההעסקה של המטפל הזר; נוהג זה אף אושר על ידי הפסיקה כנוהג סביר; במקרה הנדון, לא הוכח שהצורך של המנוח בטיפול סיעודי-רפואי עלה על שליש המשרה של העובד הזר אשר הועסק על ידו. עוד טען המוסד, כי אין להשוות בין נפגע עבודה השוהה בביתו [כבעניינו של המנוח] ובין זה המאושפז במוסד, והיעדר הוראה מפורשת בחוק בדבר הבחנה זו, אינו מוביל בהכרח למשוואה האמורה. </w:t>
      </w:r>
    </w:p>
    <w:p w:rsidR="006B7836" w:rsidRDefault="006B7836" w:rsidP="006B7836">
      <w:pPr>
        <w:numPr>
          <w:ilvl w:val="0"/>
          <w:numId w:val="1"/>
        </w:numPr>
        <w:spacing w:after="120" w:line="360" w:lineRule="auto"/>
        <w:ind w:left="284" w:right="-284" w:hanging="426"/>
        <w:contextualSpacing/>
        <w:jc w:val="both"/>
        <w:rPr>
          <w:rFonts w:ascii="David" w:hAnsi="David"/>
          <w:sz w:val="28"/>
          <w:szCs w:val="28"/>
        </w:rPr>
      </w:pPr>
      <w:r>
        <w:rPr>
          <w:rFonts w:ascii="David" w:hAnsi="David"/>
          <w:b/>
          <w:bCs/>
          <w:sz w:val="28"/>
          <w:szCs w:val="28"/>
          <w:rtl/>
        </w:rPr>
        <w:t>לאומית</w:t>
      </w:r>
      <w:r>
        <w:rPr>
          <w:rFonts w:ascii="David" w:hAnsi="David"/>
          <w:sz w:val="28"/>
          <w:szCs w:val="28"/>
          <w:rtl/>
        </w:rPr>
        <w:t xml:space="preserve"> עמדה על כך שיש להבחין בין טיפול סיעודי כללי לבין טיפול סיעודי רפואי, וטענה כי מכלל הפעולות שהעובד הזר מבצע במסגרת הטיפול הניתן למנוח, רק מתן תרופות נחשב לפעולה שהיא בכלל טיפול סיעודי-</w:t>
      </w:r>
      <w:r>
        <w:rPr>
          <w:rFonts w:ascii="David" w:hAnsi="David"/>
          <w:sz w:val="28"/>
          <w:szCs w:val="28"/>
          <w:u w:val="single"/>
          <w:rtl/>
        </w:rPr>
        <w:t>רפואי</w:t>
      </w:r>
      <w:r>
        <w:rPr>
          <w:rFonts w:ascii="David" w:hAnsi="David"/>
          <w:sz w:val="28"/>
          <w:szCs w:val="28"/>
          <w:rtl/>
        </w:rPr>
        <w:t xml:space="preserve">; על פי ההסכם בין הלאומית לבין המוסד, מכוחו היא נושאת בעלות הטיפול הסיעודי לנפגע עבודה בהיותה "נותן </w:t>
      </w:r>
      <w:r>
        <w:rPr>
          <w:rFonts w:ascii="David" w:hAnsi="David"/>
          <w:sz w:val="28"/>
          <w:szCs w:val="28"/>
          <w:rtl/>
        </w:rPr>
        <w:lastRenderedPageBreak/>
        <w:t xml:space="preserve">שירות", חלה עליה חובה לשאת בעלות של עד שליש משכר העובד הזר ולא למעלה מזה. לשיטת לאומית מדובר ב"נוהג" מחייב. לאומית הדגישה בטיעונה כי המנוח מקבל, במסגרת הקצבה המיוחדת שאושרה לו, סכום גבוה יותר מעלויות הטיפול הסיעודי שהוא נושא בהן בפועל בהעסקת העובד הזר. כך, על פי הקבלות שהציג נמצא כי הוצאות הטיפול הסיעודי היו כ-5,000 ₪ לחודש, בעוד הקצבה המיוחדת עמדה על סך של </w:t>
      </w:r>
      <w:r>
        <w:rPr>
          <w:rFonts w:ascii="David" w:hAnsi="David"/>
          <w:sz w:val="28"/>
          <w:szCs w:val="28"/>
          <w:rtl/>
        </w:rPr>
        <w:br/>
        <w:t>9,500 ₪.</w:t>
      </w:r>
    </w:p>
    <w:p w:rsidR="006B7836" w:rsidRDefault="006B7836" w:rsidP="006B7836">
      <w:pPr>
        <w:numPr>
          <w:ilvl w:val="0"/>
          <w:numId w:val="1"/>
        </w:numPr>
        <w:spacing w:after="120" w:line="360" w:lineRule="auto"/>
        <w:ind w:left="284" w:right="-284" w:hanging="426"/>
        <w:contextualSpacing/>
        <w:jc w:val="both"/>
        <w:rPr>
          <w:rFonts w:ascii="David" w:hAnsi="David"/>
          <w:b/>
          <w:bCs/>
          <w:sz w:val="28"/>
          <w:szCs w:val="28"/>
        </w:rPr>
      </w:pPr>
      <w:r>
        <w:rPr>
          <w:rFonts w:ascii="David" w:hAnsi="David"/>
          <w:b/>
          <w:bCs/>
          <w:sz w:val="28"/>
          <w:szCs w:val="28"/>
          <w:rtl/>
        </w:rPr>
        <w:t>בית הדין האזורי דחה את תביעתו של המנוח כמפורט להלן.</w:t>
      </w:r>
    </w:p>
    <w:p w:rsidR="006B7836" w:rsidRDefault="006B7836" w:rsidP="006B7836">
      <w:pPr>
        <w:spacing w:after="120" w:line="360" w:lineRule="auto"/>
        <w:ind w:left="284" w:right="-284"/>
        <w:contextualSpacing/>
        <w:jc w:val="both"/>
        <w:rPr>
          <w:rFonts w:ascii="David" w:hAnsi="David"/>
          <w:sz w:val="28"/>
          <w:szCs w:val="28"/>
        </w:rPr>
      </w:pPr>
      <w:r>
        <w:rPr>
          <w:rFonts w:ascii="David" w:hAnsi="David"/>
          <w:sz w:val="28"/>
          <w:szCs w:val="28"/>
          <w:rtl/>
        </w:rPr>
        <w:t xml:space="preserve">תחילה סקר בית הדין את הוראות החוק והתקנות הרלוונטיות למחלוקת, בכללן סעיפים 12, 86, 87, 89, 91, 112, 228 ו-320 לחוק; תקנות 2 – 3, 6 ו-10 לתקנות הביטוח הלאומי (מענק מיוחד וקצבה מיוחדת לנכים), תשכ"ה – 1965 (להלן – </w:t>
      </w:r>
      <w:r>
        <w:rPr>
          <w:rFonts w:ascii="David" w:hAnsi="David"/>
          <w:b/>
          <w:bCs/>
          <w:sz w:val="28"/>
          <w:szCs w:val="28"/>
          <w:rtl/>
        </w:rPr>
        <w:t>תקנות קצבה מיוחדת</w:t>
      </w:r>
      <w:r>
        <w:rPr>
          <w:rFonts w:ascii="David" w:hAnsi="David"/>
          <w:sz w:val="28"/>
          <w:szCs w:val="28"/>
          <w:rtl/>
        </w:rPr>
        <w:t>); וכן הוראות ההסכם שבין המוסד לבין לאומית. בית הדין קבע כי מהוראות סעיפים 228 ו-320 לחוק ניתן ללמוד כי "</w:t>
      </w:r>
      <w:r>
        <w:rPr>
          <w:rFonts w:ascii="David" w:hAnsi="David"/>
          <w:b/>
          <w:bCs/>
          <w:sz w:val="28"/>
          <w:szCs w:val="28"/>
          <w:rtl/>
        </w:rPr>
        <w:t>מטרתה של הקצבה המיוחדת הינה מטרה זהה לקצבאות השירותים המיוחדים והסיעוד</w:t>
      </w:r>
      <w:r>
        <w:rPr>
          <w:rFonts w:ascii="David" w:hAnsi="David"/>
          <w:sz w:val="28"/>
          <w:szCs w:val="28"/>
          <w:rtl/>
        </w:rPr>
        <w:t xml:space="preserve">". כך, סעיף 228 לחוק קובע כי לא תינתנה גמלת סיעוד, קצבה מיוחדת וקצבה לשירותים מיוחדים גם יחד, והזכאי לכולן על פי התנאים שבחוק, שומה עליו לבחור באחת מהן. בית הדין המשיך וקבע כי מלשון החוק והתקנות שנסקרו עולה כי הזכות לריפוי על פי החוק, אינה כוללת שירותי סיעוד שאינם רפואיים במהותם, כגון מתן סיוע בביצוע פעולות יומיום. כך, </w:t>
      </w:r>
      <w:r>
        <w:rPr>
          <w:rFonts w:ascii="David" w:hAnsi="David"/>
          <w:b/>
          <w:bCs/>
          <w:sz w:val="28"/>
          <w:szCs w:val="28"/>
          <w:rtl/>
        </w:rPr>
        <w:t>"יש הבדל בין צורך בטיפול רפואי סיעודי, כגון: מתן תרופות, מריחת משחות, החלפת בלוני חמצן, מתן עירוי, סיבוב הנכה למניעת פצעי לחץ וכד', לבין עזרה לנכה ברחיצה, הלבשה, אכילה וטיפול בהפרשות</w:t>
      </w:r>
      <w:r>
        <w:rPr>
          <w:rFonts w:ascii="David" w:hAnsi="David"/>
          <w:sz w:val="28"/>
          <w:szCs w:val="28"/>
          <w:rtl/>
        </w:rPr>
        <w:t xml:space="preserve">". משכך, קיבל בית הדין האזורי את עמדת המוסד ולאומית כי גם ההסכם שנכרת ביניהם, מכוח סעיף 91 לחוק, מבוסס על אותה הבחנה, ולאומית חייבת במתן טיפול סיעודי רפואי בלבד. </w:t>
      </w:r>
    </w:p>
    <w:p w:rsidR="006B7836" w:rsidRDefault="006B7836" w:rsidP="006B7836">
      <w:pPr>
        <w:numPr>
          <w:ilvl w:val="0"/>
          <w:numId w:val="1"/>
        </w:numPr>
        <w:spacing w:after="120" w:line="360" w:lineRule="auto"/>
        <w:ind w:left="284" w:right="-284" w:hanging="426"/>
        <w:contextualSpacing/>
        <w:jc w:val="both"/>
        <w:rPr>
          <w:rFonts w:ascii="David" w:hAnsi="David"/>
          <w:b/>
          <w:bCs/>
          <w:sz w:val="28"/>
          <w:szCs w:val="28"/>
          <w:rtl/>
        </w:rPr>
      </w:pPr>
      <w:r>
        <w:rPr>
          <w:rFonts w:ascii="David" w:hAnsi="David"/>
          <w:sz w:val="28"/>
          <w:szCs w:val="28"/>
          <w:rtl/>
        </w:rPr>
        <w:t xml:space="preserve">בית הדין האזורי ציין כי הנוהג המיושם על ידי המוסד וקופות החולים הוא כי שליש מהטיפול הסיעודי לו נזקק נפגע העבודה הוא בגין סיעוד רפואי. בית הדין קבע כי נוהג זה אשר קיבל ביטוי בכתב, בין היתר, במסמך הקווים המנחים הוא סביר. יחד עם זאת, </w:t>
      </w:r>
      <w:r>
        <w:rPr>
          <w:rFonts w:ascii="David" w:hAnsi="David"/>
          <w:b/>
          <w:bCs/>
          <w:sz w:val="28"/>
          <w:szCs w:val="28"/>
          <w:rtl/>
        </w:rPr>
        <w:t>"באותם מקרים בהם יובאו ראיות שנכה זקוק לשירותים סיעודיים רפואיים, שהיקפם עולה על שליש מהסיעוד הכללי שלו הוא נזקק... יהא הנכה זכאי למימון מלוא הטיפול הסיעודי הרפואי, כמובן, בכפוף לכך, שהמדובר בעלות סבירה ומקובלת"</w:t>
      </w:r>
      <w:r>
        <w:rPr>
          <w:rFonts w:ascii="David" w:hAnsi="David"/>
          <w:sz w:val="28"/>
          <w:szCs w:val="28"/>
          <w:rtl/>
        </w:rPr>
        <w:t>.</w:t>
      </w:r>
      <w:r>
        <w:rPr>
          <w:rFonts w:ascii="David" w:hAnsi="David"/>
          <w:b/>
          <w:bCs/>
          <w:sz w:val="28"/>
          <w:szCs w:val="28"/>
          <w:rtl/>
        </w:rPr>
        <w:t xml:space="preserve"> </w:t>
      </w:r>
    </w:p>
    <w:p w:rsidR="006B7836" w:rsidRDefault="006B7836" w:rsidP="006B7836">
      <w:pPr>
        <w:numPr>
          <w:ilvl w:val="0"/>
          <w:numId w:val="1"/>
        </w:numPr>
        <w:spacing w:after="120" w:line="360" w:lineRule="auto"/>
        <w:ind w:left="284" w:right="-284" w:hanging="426"/>
        <w:contextualSpacing/>
        <w:jc w:val="both"/>
        <w:rPr>
          <w:rFonts w:ascii="David" w:hAnsi="David"/>
          <w:b/>
          <w:bCs/>
          <w:sz w:val="28"/>
          <w:szCs w:val="28"/>
        </w:rPr>
      </w:pPr>
      <w:r>
        <w:rPr>
          <w:rFonts w:ascii="David" w:hAnsi="David"/>
          <w:sz w:val="28"/>
          <w:szCs w:val="28"/>
          <w:rtl/>
        </w:rPr>
        <w:lastRenderedPageBreak/>
        <w:t>על יסוד העדויות והראיות שלפניו, קבע בית דין האזורי כי עיקר עבודתו של המטפל הזר שהועסק על ידי המנוח הינו במתן סיוע למנוח בביצוע פעולות היומיום כדוגמת רחיצה, האכלה, הלבשה וכיו"ב, ועל כן לא הוכח שהמנוח זקוק לטיפול סיעודי רפואי בהיקף העולה על שליש מהיממה. אשר לטענת המנוח לפיה אין להפלותו אך משום שהוא "מאושפז" בביתו, וכי אם היה מאושפז במוסד, הרי שהיה זכאי למימון מלא – נקבע, כי משעה שאין הוראה סטטוטורית מפורשת באשר למימון מלא במצב של "אשפוז ביתי", אין להקנות זכות כזו למנוח. גם את טענת המנוח בדבר הפליה בין נכה עבודה המעסיק עובד ישראלי לבין נכה עבודה המעסיק עובד זר דחה בית הדין, היות והיא לא הוכחה עובדתית. אדרבא, בית הדין ציין כי מעדות הגורמים הרלוונטיים במוסד עולה כי גם לו היה המנוח מטופל על ידי עובד ישראלי "</w:t>
      </w:r>
      <w:r>
        <w:rPr>
          <w:rFonts w:ascii="David" w:hAnsi="David"/>
          <w:b/>
          <w:bCs/>
          <w:sz w:val="28"/>
          <w:szCs w:val="28"/>
          <w:rtl/>
        </w:rPr>
        <w:t>לא היו משלמים לו לפי 8 שעות בהתבסס על שכר המינימום במשק</w:t>
      </w:r>
      <w:r>
        <w:rPr>
          <w:rFonts w:ascii="David" w:hAnsi="David"/>
          <w:sz w:val="28"/>
          <w:szCs w:val="28"/>
          <w:rtl/>
        </w:rPr>
        <w:t>". לאור האמור, נוכח העובדה ששכר העובד הזר משולם לו בגין מכלול עבודתו (המתפרשת על פני היממה כולה) ולא בגין 8 שעות בלבד, הרי שתשלום שליש מעלות שכרו של העובד הזר בגין טיפול סיעודי רפואי "</w:t>
      </w:r>
      <w:r>
        <w:rPr>
          <w:rFonts w:ascii="David" w:hAnsi="David"/>
          <w:b/>
          <w:bCs/>
          <w:sz w:val="28"/>
          <w:szCs w:val="28"/>
          <w:rtl/>
        </w:rPr>
        <w:t>הינו תשלום סביר</w:t>
      </w:r>
      <w:r>
        <w:rPr>
          <w:rFonts w:ascii="David" w:hAnsi="David"/>
          <w:sz w:val="28"/>
          <w:szCs w:val="28"/>
          <w:rtl/>
        </w:rPr>
        <w:t xml:space="preserve">". עם זאת, מעבר לשכר החודשי המשולם לעובד הזר, על לאומית לשאת גם בשליש מהעלויות הנלוות להעסקתו של העובד הזר, ובכללן: חופשה, הבראה, פנסיה וכיו"ב. זאת, בכפוף להמצאת קבלות על התשלום. לאחר שבחן את הקבלות שהגיש המנוח קבע בית הדין האזורי כי המנוח </w:t>
      </w:r>
      <w:r>
        <w:rPr>
          <w:rFonts w:ascii="David" w:hAnsi="David"/>
          <w:b/>
          <w:bCs/>
          <w:sz w:val="28"/>
          <w:szCs w:val="28"/>
          <w:rtl/>
        </w:rPr>
        <w:t>"</w:t>
      </w:r>
      <w:r>
        <w:rPr>
          <w:rFonts w:ascii="Arial" w:hAnsi="Arial"/>
          <w:b/>
          <w:bCs/>
          <w:sz w:val="28"/>
          <w:szCs w:val="28"/>
          <w:rtl/>
        </w:rPr>
        <w:t>לא הצביע, ולו על חודש אחד לדוגמא, שבהתייחס אליו השתתפות קופת החולים בצירוף הקצבה המיוחדת, עדיין לא כיסו את הוצאות שכר העובד הזר".</w:t>
      </w:r>
    </w:p>
    <w:p w:rsidR="006B7836" w:rsidRDefault="006B7836" w:rsidP="006B7836">
      <w:pPr>
        <w:numPr>
          <w:ilvl w:val="0"/>
          <w:numId w:val="1"/>
        </w:numPr>
        <w:spacing w:after="240" w:line="360" w:lineRule="auto"/>
        <w:ind w:left="283" w:right="-284" w:hanging="425"/>
        <w:jc w:val="both"/>
        <w:rPr>
          <w:rFonts w:ascii="David" w:hAnsi="David"/>
          <w:sz w:val="28"/>
          <w:szCs w:val="28"/>
        </w:rPr>
      </w:pPr>
      <w:r>
        <w:rPr>
          <w:rFonts w:ascii="David" w:hAnsi="David"/>
          <w:b/>
          <w:bCs/>
          <w:sz w:val="28"/>
          <w:szCs w:val="28"/>
          <w:rtl/>
        </w:rPr>
        <w:t>כללו של דבר</w:t>
      </w:r>
      <w:r>
        <w:rPr>
          <w:rFonts w:ascii="David" w:hAnsi="David"/>
          <w:sz w:val="28"/>
          <w:szCs w:val="28"/>
          <w:rtl/>
        </w:rPr>
        <w:t>: בית הדין האזורי קבע כי המנוח זכאי למימון מלאומית בגין טיפול סיעודי-</w:t>
      </w:r>
      <w:r>
        <w:rPr>
          <w:rFonts w:ascii="David" w:hAnsi="David"/>
          <w:b/>
          <w:bCs/>
          <w:sz w:val="28"/>
          <w:szCs w:val="28"/>
          <w:u w:val="single"/>
          <w:rtl/>
        </w:rPr>
        <w:t>רפואי</w:t>
      </w:r>
      <w:r>
        <w:rPr>
          <w:rFonts w:ascii="David" w:hAnsi="David"/>
          <w:sz w:val="28"/>
          <w:szCs w:val="28"/>
          <w:rtl/>
        </w:rPr>
        <w:t xml:space="preserve"> בלבד, וזאת עד לגובה של 8 שעות מהיממה, ועד לגובה שליש שכר העובד הזר, "</w:t>
      </w:r>
      <w:r>
        <w:rPr>
          <w:rFonts w:ascii="David" w:hAnsi="David"/>
          <w:b/>
          <w:bCs/>
          <w:sz w:val="28"/>
          <w:szCs w:val="28"/>
          <w:rtl/>
        </w:rPr>
        <w:t>כאשר יש לקחת בחשבון שליש מכל עלויות השכר</w:t>
      </w:r>
      <w:r>
        <w:rPr>
          <w:rFonts w:ascii="David" w:hAnsi="David"/>
          <w:sz w:val="28"/>
          <w:szCs w:val="28"/>
          <w:rtl/>
        </w:rPr>
        <w:t xml:space="preserve">". לטיפול סיעודי שאינו רפואי, ועניינו ביצוע פעולות היומיום, מיועדת הקצבה המיוחדת על פי סעיף 112 לחוק. השתתפות לאומית בצירוף הקצבה המיוחדת כיסו את מלוא הוצאות השכר של העובד הזר. בהתאם, נדחתה התביעה ללא צו להוצאות. </w:t>
      </w:r>
    </w:p>
    <w:p w:rsidR="006B7836" w:rsidRDefault="006B7836" w:rsidP="006B7836">
      <w:pPr>
        <w:spacing w:line="360" w:lineRule="auto"/>
        <w:ind w:right="-284" w:firstLine="284"/>
        <w:jc w:val="both"/>
        <w:rPr>
          <w:rFonts w:ascii="David" w:hAnsi="David"/>
          <w:b/>
          <w:bCs/>
          <w:sz w:val="28"/>
          <w:szCs w:val="28"/>
          <w:u w:val="single"/>
          <w:rtl/>
        </w:rPr>
      </w:pPr>
      <w:r>
        <w:rPr>
          <w:rFonts w:ascii="David" w:hAnsi="David"/>
          <w:b/>
          <w:bCs/>
          <w:sz w:val="28"/>
          <w:szCs w:val="28"/>
          <w:u w:val="single"/>
          <w:rtl/>
        </w:rPr>
        <w:t>ערעור בגו</w:t>
      </w:r>
    </w:p>
    <w:p w:rsidR="006B7836" w:rsidRDefault="006B7836" w:rsidP="006B7836">
      <w:pPr>
        <w:numPr>
          <w:ilvl w:val="0"/>
          <w:numId w:val="1"/>
        </w:numPr>
        <w:spacing w:line="360" w:lineRule="auto"/>
        <w:ind w:left="288" w:right="-284" w:hanging="432"/>
        <w:jc w:val="both"/>
        <w:rPr>
          <w:rFonts w:ascii="David" w:hAnsi="David"/>
          <w:sz w:val="28"/>
          <w:szCs w:val="28"/>
          <w:rtl/>
        </w:rPr>
      </w:pPr>
      <w:r>
        <w:rPr>
          <w:rFonts w:ascii="David" w:hAnsi="David"/>
          <w:sz w:val="28"/>
          <w:szCs w:val="28"/>
          <w:rtl/>
        </w:rPr>
        <w:t xml:space="preserve">המערער, מר אריה בגו (להלן – </w:t>
      </w:r>
      <w:r>
        <w:rPr>
          <w:rFonts w:ascii="David" w:hAnsi="David"/>
          <w:b/>
          <w:bCs/>
          <w:sz w:val="28"/>
          <w:szCs w:val="28"/>
          <w:rtl/>
        </w:rPr>
        <w:t>מר בגו</w:t>
      </w:r>
      <w:r>
        <w:rPr>
          <w:rFonts w:ascii="David" w:hAnsi="David"/>
          <w:sz w:val="28"/>
          <w:szCs w:val="28"/>
          <w:rtl/>
        </w:rPr>
        <w:t xml:space="preserve">) יליד 1957, נפגע בשלהי שנת 1984 בתאונת דרכים אשר הוכרה על ידי המוסד כתאונת עבודה. בעקבות התאונה הפך מר בגו משותק מהצוואר ומטה ורותק לכיסא גלגלים, תוך שנזקק לטיפול במשך שעות היממה כולה. נכותו של מר בגו נקבעה על ידי המוסד בשיעור של 100% לצמיתות. </w:t>
      </w:r>
      <w:r>
        <w:rPr>
          <w:rFonts w:ascii="David" w:hAnsi="David"/>
          <w:sz w:val="28"/>
          <w:szCs w:val="28"/>
          <w:rtl/>
        </w:rPr>
        <w:lastRenderedPageBreak/>
        <w:t xml:space="preserve">בשל האמור נקבעה למר בגו זכאות לקבלת קצבת נכות מעבודה, קצבה מיוחדת בהתאם לסעיף 112 לחוק, קצבת ניידות וכן תשלום עבור קבלת טיפול סיעודי בביתו, אשר משולם לו על ידי שירותי בריאות כללית (להלן – </w:t>
      </w:r>
      <w:r>
        <w:rPr>
          <w:rFonts w:ascii="David" w:hAnsi="David"/>
          <w:b/>
          <w:bCs/>
          <w:sz w:val="28"/>
          <w:szCs w:val="28"/>
          <w:rtl/>
        </w:rPr>
        <w:t>הכללית</w:t>
      </w:r>
      <w:r>
        <w:rPr>
          <w:rFonts w:ascii="David" w:hAnsi="David"/>
          <w:sz w:val="28"/>
          <w:szCs w:val="28"/>
          <w:rtl/>
        </w:rPr>
        <w:t>), במסגרתה הוא מבוטח.</w:t>
      </w:r>
    </w:p>
    <w:p w:rsidR="006B7836" w:rsidRDefault="006B7836" w:rsidP="006B7836">
      <w:pPr>
        <w:numPr>
          <w:ilvl w:val="0"/>
          <w:numId w:val="1"/>
        </w:numPr>
        <w:spacing w:after="120" w:line="360" w:lineRule="auto"/>
        <w:ind w:left="283" w:right="-284" w:hanging="425"/>
        <w:jc w:val="both"/>
        <w:rPr>
          <w:rFonts w:ascii="David" w:hAnsi="David"/>
          <w:sz w:val="28"/>
          <w:szCs w:val="28"/>
        </w:rPr>
      </w:pPr>
      <w:r>
        <w:rPr>
          <w:rFonts w:ascii="David" w:hAnsi="David"/>
          <w:sz w:val="28"/>
          <w:szCs w:val="28"/>
          <w:rtl/>
        </w:rPr>
        <w:t xml:space="preserve">עד שנת 1998 קיבל מר בגו מהכללית סך של 4,500 ₪ לחודש בגין הטיפול הסיעודי שניתן לו. אולם, משנה זו ואילך הופחת הסכום האמור לסך של 600$ (דולר ארה"ב) בלבד. לטענת הכללית, הסכום המופחת חושב לפי שליש מעלות העסקת העובד הזר, לאחר שהתברר בביקור בביתו של מר בגו כי הוא מעסיק עובד זר. מר בגו קבל על ההפחתה, ומשפניותיו לכללית לביטול ההפחתה לא צלחו, הגיש את התביעה מושא ערעור זה, בחודש אוקטובר 2013 (חב"ר 10635-10-13). </w:t>
      </w:r>
    </w:p>
    <w:p w:rsidR="006B7836" w:rsidRDefault="006B7836" w:rsidP="006B7836">
      <w:pPr>
        <w:numPr>
          <w:ilvl w:val="0"/>
          <w:numId w:val="1"/>
        </w:numPr>
        <w:spacing w:line="360" w:lineRule="auto"/>
        <w:ind w:left="283" w:right="-284" w:hanging="425"/>
        <w:jc w:val="both"/>
        <w:rPr>
          <w:rFonts w:ascii="David" w:hAnsi="David"/>
          <w:sz w:val="28"/>
          <w:szCs w:val="28"/>
        </w:rPr>
      </w:pPr>
      <w:r>
        <w:rPr>
          <w:rFonts w:ascii="David" w:hAnsi="David"/>
          <w:b/>
          <w:bCs/>
          <w:sz w:val="28"/>
          <w:szCs w:val="28"/>
          <w:rtl/>
        </w:rPr>
        <w:t>מר בגו טען</w:t>
      </w:r>
      <w:r>
        <w:rPr>
          <w:rFonts w:ascii="David" w:hAnsi="David"/>
          <w:sz w:val="28"/>
          <w:szCs w:val="28"/>
          <w:rtl/>
        </w:rPr>
        <w:t xml:space="preserve"> כי הכללית אינה מכבדת את ההסכמים שהיא עצמה כרתה עם המוסד, שלפיהם עליה לממן את הטיפול הסיעודי הנדרש לנפגעי עבודה, עת תקרת ההשתתפות גם לנפגע עבודה המטופל בביתו היא עלות אשפוז במוסד סיעודי (392 ₪ ליום</w:t>
      </w:r>
      <w:r>
        <w:rPr>
          <w:rFonts w:ascii="David" w:hAnsi="David"/>
          <w:sz w:val="28"/>
          <w:szCs w:val="28"/>
          <w:rtl/>
        </w:rPr>
        <w:br/>
        <w:t>ו- 11,760 ₪ לחודש נכון לשנת 1998); הפחתת תקרת המימון באופן שרירותי נוגדת את לשונם הברורה של ההסכמים, ואף אינה יכולה להתבסס על פרשנות ההסכמים; ההחלטה להפחית את תקרת המימון ל- 8 שעות ביום לוקה בחוסר סבירות, שעה שהקורלציה בין טיפול סיעודי רפואי ליום ובין 8 שעות לא נבדקה ולא נתמכה באסמכתאות; בכל מקרה, שמונה שעות אלה אינן שוות ערך לשליש מעלות העסקת העובד הזר, שכן העובד הזר אינו עובד 24 שעות ביממה. בהקשר זה הציג מר בגו חוות דעת מומחה, שלפיה העלות החודשית של העסקת עובד זר (על בסיס 8 שעות עבודה ביום) היא 7,200 ₪ לחודש, לא כולל נסיעות ותוספות שונות. על כן, בתמחור שערכה הכללית היא "</w:t>
      </w:r>
      <w:r>
        <w:rPr>
          <w:rFonts w:ascii="David" w:hAnsi="David"/>
          <w:b/>
          <w:bCs/>
          <w:sz w:val="28"/>
          <w:szCs w:val="28"/>
          <w:rtl/>
        </w:rPr>
        <w:t>פוגעת וגורעת באופן מהותי וברור מזכאותו של הנכה לקבלת העזרה הסיעודית-רפואית לה הוא נמצא זכאי...</w:t>
      </w:r>
      <w:r>
        <w:rPr>
          <w:rFonts w:ascii="David" w:hAnsi="David"/>
          <w:sz w:val="28"/>
          <w:szCs w:val="28"/>
          <w:rtl/>
        </w:rPr>
        <w:t>".</w:t>
      </w:r>
    </w:p>
    <w:p w:rsidR="006B7836" w:rsidRDefault="006B7836" w:rsidP="006B7836">
      <w:pPr>
        <w:spacing w:line="360" w:lineRule="auto"/>
        <w:ind w:left="283" w:right="-284"/>
        <w:jc w:val="both"/>
        <w:rPr>
          <w:rFonts w:ascii="David" w:hAnsi="David"/>
          <w:sz w:val="28"/>
          <w:szCs w:val="28"/>
        </w:rPr>
      </w:pPr>
      <w:r>
        <w:rPr>
          <w:rFonts w:ascii="David" w:hAnsi="David"/>
          <w:sz w:val="28"/>
          <w:szCs w:val="28"/>
          <w:rtl/>
        </w:rPr>
        <w:t xml:space="preserve">מר בגו אף טען, כי במסגרת תביעתו הנזיקית בקשר לתאונת הדרכים שאירעה לו, נכרת הסכם פשרה, אשר נשען על מצגיה של הכללית, באמצעות נציגיה הרשמיים, לפיהם תישא הכללית במימון מקסימלי של הטיפול הסיעודי הביתי, ואין לאפשר לכללית להתנער מההתחייבויות שנטלה על עצמה בשעתו. </w:t>
      </w:r>
    </w:p>
    <w:p w:rsidR="006B7836" w:rsidRDefault="006B7836" w:rsidP="006B7836">
      <w:pPr>
        <w:spacing w:line="360" w:lineRule="auto"/>
        <w:ind w:left="283" w:right="-284"/>
        <w:jc w:val="both"/>
        <w:rPr>
          <w:rFonts w:ascii="David" w:hAnsi="David"/>
          <w:sz w:val="28"/>
          <w:szCs w:val="28"/>
        </w:rPr>
      </w:pPr>
      <w:r>
        <w:rPr>
          <w:rFonts w:ascii="David" w:hAnsi="David"/>
          <w:sz w:val="28"/>
          <w:szCs w:val="28"/>
          <w:rtl/>
        </w:rPr>
        <w:t xml:space="preserve">בנוסף, מר בגו העלה טענה גם כנגד הסכם 2016, שבו נקבע מפורשות, במסגרת סעיף 15 להסכם כי הכללית </w:t>
      </w:r>
      <w:r>
        <w:rPr>
          <w:rFonts w:ascii="David" w:hAnsi="David"/>
          <w:b/>
          <w:bCs/>
          <w:sz w:val="28"/>
          <w:szCs w:val="28"/>
          <w:rtl/>
        </w:rPr>
        <w:t xml:space="preserve">"תשתתף בעלות העסקת מטפל לעזרה סיעודית רפואית בבית </w:t>
      </w:r>
      <w:r>
        <w:rPr>
          <w:rFonts w:ascii="David" w:hAnsi="David"/>
          <w:b/>
          <w:bCs/>
          <w:sz w:val="28"/>
          <w:szCs w:val="28"/>
          <w:rtl/>
        </w:rPr>
        <w:lastRenderedPageBreak/>
        <w:t>מקבל השירות, בגובה עד 1/3 מעלות העסקתו לפי עלות העסקה מרבית שלא תעלה על סך של 6,900 ₪</w:t>
      </w:r>
      <w:r>
        <w:rPr>
          <w:rFonts w:ascii="David" w:hAnsi="David"/>
          <w:sz w:val="28"/>
          <w:szCs w:val="28"/>
          <w:rtl/>
        </w:rPr>
        <w:t>".</w:t>
      </w:r>
    </w:p>
    <w:p w:rsidR="006B7836" w:rsidRDefault="006B7836" w:rsidP="006B7836">
      <w:pPr>
        <w:numPr>
          <w:ilvl w:val="0"/>
          <w:numId w:val="1"/>
        </w:numPr>
        <w:spacing w:line="360" w:lineRule="auto"/>
        <w:ind w:left="283" w:right="-284" w:hanging="425"/>
        <w:jc w:val="both"/>
        <w:rPr>
          <w:rFonts w:ascii="David" w:hAnsi="David"/>
          <w:sz w:val="28"/>
          <w:szCs w:val="28"/>
        </w:rPr>
      </w:pPr>
      <w:r>
        <w:rPr>
          <w:rFonts w:ascii="David" w:hAnsi="David"/>
          <w:sz w:val="28"/>
          <w:szCs w:val="28"/>
          <w:rtl/>
        </w:rPr>
        <w:t xml:space="preserve">מנגד, </w:t>
      </w:r>
      <w:r>
        <w:rPr>
          <w:rFonts w:ascii="David" w:hAnsi="David"/>
          <w:b/>
          <w:bCs/>
          <w:sz w:val="28"/>
          <w:szCs w:val="28"/>
          <w:rtl/>
        </w:rPr>
        <w:t>הכללית טענה</w:t>
      </w:r>
      <w:r>
        <w:rPr>
          <w:rFonts w:ascii="David" w:hAnsi="David"/>
          <w:sz w:val="28"/>
          <w:szCs w:val="28"/>
          <w:rtl/>
        </w:rPr>
        <w:t xml:space="preserve"> כי מר בגו כשל מלהוכיח כי נשא בתשלום המטפל הסיעודי לאורך השנים וכבר משכך דין התביעה להידחות, שכן חובתה של הכללית לשאת בעלות טיפול סיעודי רפואי, מותנית בקיום הטיפול </w:t>
      </w:r>
      <w:r>
        <w:rPr>
          <w:rFonts w:ascii="David" w:hAnsi="David"/>
          <w:sz w:val="28"/>
          <w:szCs w:val="28"/>
          <w:u w:val="single"/>
          <w:rtl/>
        </w:rPr>
        <w:t>בפועל</w:t>
      </w:r>
      <w:r>
        <w:rPr>
          <w:rFonts w:ascii="David" w:hAnsi="David"/>
          <w:sz w:val="28"/>
          <w:szCs w:val="28"/>
          <w:rtl/>
        </w:rPr>
        <w:t xml:space="preserve">, ועל כן על המטופל להציג אסמכתאות להוצאות ממשיות; לגופם של דברים טענה הכללית כי אין מקום להפנות אליה טענות באשר להיקף הראוי של זכויות נפגעי עבודה, אשר דינן להתברר במסגרת עתירה מנהלית כנגד המוסד לבדו, ולא כנגדה, שכן היא נושאת באחריות חוזית בלבד, בהיותה שלוחת המוסד על פי ההסכמים השונים הרלוונטיים לתובענה, והדברים אף צוינו באופן מפורש במבוא למסמך הקווים המנחים; התחייבות הקופה על פי ההסכמים היא להשתתפות בטיפול סיעודי-רפואי בלבד, ולצרכים האחרים של המטופל, שאינם רפואיים במהותם, נועדו הקצבאות המקבילות, כגון הקצבה המיוחדת ואחרות, שמר בגו אכן מקבל, בגובה עשרות אלפי שקלים מידי חודש; על פי ההסכם בין הכללית לבין המוסד, על הכללית לספק את טיפול רפואי סיעודי לנפגעי עבודה בהיקף של עד 8 שעות יומיות ותו לא, והדברים באו לידי ביטוי ברור בסעיפים 7(ב)(1)(ג) עד 7(ב)(1)(ה) למסמך הקווים המנחים; כמו כן נקבע באופן ברור, כי השתתפותה המירבית של הכללית במקרה של העסקת עובד זר היא עד 1/3 מעלות העסקתו. ודוק: מטרת מסמך הקווים המנחים הייתה לאשרר את המצב שנהג עד כה ולא לחדש דבר מה, שאם לא כן היו המוסד והכללית חותמים על הסכם חדש, כפי שעשו בשנת 2003. בהתייחס לחוות הדעת שהציג מר בגו לעניין עלות העסקת עובד זר טענה הכללית כי הנתונים בה "נופחו" וכי היא לוקה באי דיוקים. </w:t>
      </w:r>
    </w:p>
    <w:p w:rsidR="006B7836" w:rsidRDefault="006B7836" w:rsidP="006B7836">
      <w:pPr>
        <w:numPr>
          <w:ilvl w:val="0"/>
          <w:numId w:val="1"/>
        </w:numPr>
        <w:spacing w:line="360" w:lineRule="auto"/>
        <w:ind w:left="283" w:right="-284" w:hanging="425"/>
        <w:jc w:val="both"/>
        <w:rPr>
          <w:rFonts w:ascii="David" w:hAnsi="David"/>
          <w:sz w:val="28"/>
          <w:szCs w:val="28"/>
        </w:rPr>
      </w:pPr>
      <w:r>
        <w:rPr>
          <w:rFonts w:ascii="David" w:hAnsi="David"/>
          <w:b/>
          <w:bCs/>
          <w:sz w:val="28"/>
          <w:szCs w:val="28"/>
          <w:rtl/>
        </w:rPr>
        <w:t>המוסד טען</w:t>
      </w:r>
      <w:r>
        <w:rPr>
          <w:rFonts w:ascii="David" w:hAnsi="David"/>
          <w:sz w:val="28"/>
          <w:szCs w:val="28"/>
          <w:rtl/>
        </w:rPr>
        <w:t xml:space="preserve"> כי יש לסלק את התביעה נגדו בהיעדר עילה, שכן מר בגו מיצה את זכויותיו על פי החוק והתקנות, שעה שאושרו לו הקצבאות המשולמות לו, ביניהן הקצבה המיוחדת שנועדה ליתן מענה לטיפול סיעודי הנדרש לשם סיוע בביצוע פעולות היום יום. המוסד הצטרף לעמדת הכללית שלפיה על פי הוראות החוק והתקנות הרלבנטיות, התחייבות הכללית לממן לנפגע עבודה טיפול סיעודי מוגבלת לטיפול סיעודי רפואי בלבד </w:t>
      </w:r>
      <w:r>
        <w:rPr>
          <w:rFonts w:ascii="David" w:hAnsi="David"/>
          <w:b/>
          <w:bCs/>
          <w:sz w:val="28"/>
          <w:szCs w:val="28"/>
          <w:rtl/>
        </w:rPr>
        <w:t>"וזאת להבדיל מטיפול סיעודי לצורך סיוע בביצוע פעולות היום-יום".</w:t>
      </w:r>
      <w:r>
        <w:rPr>
          <w:rFonts w:ascii="David" w:hAnsi="David"/>
          <w:sz w:val="28"/>
          <w:szCs w:val="28"/>
          <w:rtl/>
        </w:rPr>
        <w:t xml:space="preserve"> כן אישר המוסד את טענת הכללית כי הנוהג שרווח לאורך השנים בינו ובין כלל קופות החולים הוא כי רק שליש מהטיפול הסיעודי הניתן בבית הוא בגדר טיפול סיעודי-רפואי, וכי נוהג זה מושרש גם בפסיקה. עוד צוין כי מר בגו לא הוכיח תשלום </w:t>
      </w:r>
      <w:r>
        <w:rPr>
          <w:rFonts w:ascii="David" w:hAnsi="David"/>
          <w:sz w:val="28"/>
          <w:szCs w:val="28"/>
          <w:rtl/>
        </w:rPr>
        <w:lastRenderedPageBreak/>
        <w:t>בפועל למטפל סיעודי בתקופה הרלבנטית לתובענה, וכי טענותיו של מר בגו בדבר קיפוחו לכאורה, למול נפגע עבודה המאושפז במוסד לא הוכחו.</w:t>
      </w:r>
    </w:p>
    <w:p w:rsidR="006B7836" w:rsidRDefault="006B7836" w:rsidP="006B7836">
      <w:pPr>
        <w:numPr>
          <w:ilvl w:val="0"/>
          <w:numId w:val="1"/>
        </w:numPr>
        <w:spacing w:line="360" w:lineRule="auto"/>
        <w:ind w:left="283" w:right="-284" w:hanging="425"/>
        <w:jc w:val="both"/>
        <w:rPr>
          <w:rFonts w:ascii="David" w:hAnsi="David"/>
          <w:sz w:val="28"/>
          <w:szCs w:val="28"/>
        </w:rPr>
      </w:pPr>
      <w:r>
        <w:rPr>
          <w:rFonts w:ascii="David" w:hAnsi="David"/>
          <w:b/>
          <w:bCs/>
          <w:sz w:val="28"/>
          <w:szCs w:val="28"/>
          <w:rtl/>
        </w:rPr>
        <w:t xml:space="preserve">בית הדין האזורי דחה את התביעה כמפורט להלן. </w:t>
      </w:r>
    </w:p>
    <w:p w:rsidR="006B7836" w:rsidRDefault="006B7836" w:rsidP="006B7836">
      <w:pPr>
        <w:spacing w:line="360" w:lineRule="auto"/>
        <w:ind w:left="283" w:right="-284"/>
        <w:jc w:val="both"/>
        <w:rPr>
          <w:rFonts w:ascii="David" w:hAnsi="David"/>
          <w:sz w:val="28"/>
          <w:szCs w:val="28"/>
          <w:rtl/>
        </w:rPr>
      </w:pPr>
      <w:r>
        <w:rPr>
          <w:rFonts w:ascii="David" w:hAnsi="David"/>
          <w:sz w:val="28"/>
          <w:szCs w:val="28"/>
          <w:rtl/>
        </w:rPr>
        <w:t xml:space="preserve">בית הדין האזורי קיבל את טענת ההתיישנות של הכללית וקבע כי יש לדחות על הסף את טענותיו של מר בגו ככל שהן נוגעות לתקופה שלפני 10.10.2006 (שבע שנים שקדמו להגשת התביעה). טענת השיהוי שהעלו המוסד והכללית נדחתה, היות ולא נמצא כי </w:t>
      </w:r>
      <w:r>
        <w:rPr>
          <w:rFonts w:ascii="David" w:hAnsi="David"/>
          <w:b/>
          <w:bCs/>
          <w:sz w:val="28"/>
          <w:szCs w:val="28"/>
          <w:rtl/>
        </w:rPr>
        <w:t>"המקרה שלפנינו בא בגדר אותם המקרים החריגים והנדירים המצדיקים את קבלת הטענה".</w:t>
      </w:r>
      <w:r>
        <w:rPr>
          <w:rFonts w:ascii="David" w:hAnsi="David"/>
          <w:sz w:val="28"/>
          <w:szCs w:val="28"/>
          <w:rtl/>
        </w:rPr>
        <w:t xml:space="preserve"> </w:t>
      </w:r>
    </w:p>
    <w:p w:rsidR="006B7836" w:rsidRDefault="006B7836" w:rsidP="006B7836">
      <w:pPr>
        <w:spacing w:line="360" w:lineRule="auto"/>
        <w:ind w:left="288" w:right="-284"/>
        <w:jc w:val="both"/>
        <w:rPr>
          <w:rFonts w:ascii="David" w:hAnsi="David"/>
          <w:sz w:val="28"/>
          <w:szCs w:val="28"/>
        </w:rPr>
      </w:pPr>
      <w:r>
        <w:rPr>
          <w:rFonts w:ascii="David" w:hAnsi="David"/>
          <w:sz w:val="28"/>
          <w:szCs w:val="28"/>
          <w:rtl/>
        </w:rPr>
        <w:t xml:space="preserve">עוד הבהיר בית הדין האזורי, כי הכרעתו תתייחס אך ורק לתשלומים ששולמו למר בגו עד ליום 1.1.2016, שכן החל מיום זה חל הסכם 2016, שאינו חלק מהתביעה, וכל טענותיו של מר בגו ביחס להסכם זה שמורות לו. </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sz w:val="28"/>
          <w:szCs w:val="28"/>
          <w:rtl/>
        </w:rPr>
        <w:t>בית הדין חזר על האמור בעניין</w:t>
      </w:r>
      <w:r>
        <w:rPr>
          <w:rFonts w:ascii="David" w:hAnsi="David"/>
          <w:b/>
          <w:bCs/>
          <w:sz w:val="28"/>
          <w:szCs w:val="28"/>
          <w:rtl/>
        </w:rPr>
        <w:t xml:space="preserve"> עורקבי</w:t>
      </w:r>
      <w:r>
        <w:rPr>
          <w:rFonts w:ascii="David" w:hAnsi="David"/>
          <w:sz w:val="28"/>
          <w:szCs w:val="28"/>
          <w:rtl/>
        </w:rPr>
        <w:t xml:space="preserve"> [עב"ל (ארצי) 419/06 </w:t>
      </w:r>
      <w:r>
        <w:rPr>
          <w:rFonts w:ascii="David" w:hAnsi="David"/>
          <w:b/>
          <w:bCs/>
          <w:sz w:val="28"/>
          <w:szCs w:val="28"/>
          <w:rtl/>
        </w:rPr>
        <w:t xml:space="preserve">עורקבי – המוסד לביטוח לאומי </w:t>
      </w:r>
      <w:r>
        <w:rPr>
          <w:rFonts w:ascii="David" w:hAnsi="David"/>
          <w:sz w:val="28"/>
          <w:szCs w:val="28"/>
          <w:rtl/>
        </w:rPr>
        <w:t>(7.7.2010)</w:t>
      </w:r>
      <w:r>
        <w:rPr>
          <w:rFonts w:asciiTheme="minorHAnsi" w:hAnsiTheme="minorHAnsi"/>
          <w:sz w:val="28"/>
          <w:szCs w:val="28"/>
          <w:rtl/>
        </w:rPr>
        <w:t xml:space="preserve">; להלן – </w:t>
      </w:r>
      <w:r>
        <w:rPr>
          <w:rFonts w:asciiTheme="minorHAnsi" w:hAnsiTheme="minorHAnsi"/>
          <w:b/>
          <w:bCs/>
          <w:sz w:val="28"/>
          <w:szCs w:val="28"/>
          <w:rtl/>
        </w:rPr>
        <w:t>עניין עורקבי</w:t>
      </w:r>
      <w:r>
        <w:rPr>
          <w:rFonts w:asciiTheme="minorHAnsi" w:hAnsiTheme="minorHAnsi"/>
          <w:sz w:val="28"/>
          <w:szCs w:val="28"/>
          <w:rtl/>
        </w:rPr>
        <w:t>]</w:t>
      </w:r>
      <w:r>
        <w:rPr>
          <w:rFonts w:ascii="David" w:hAnsi="David"/>
          <w:sz w:val="28"/>
          <w:szCs w:val="28"/>
          <w:rtl/>
        </w:rPr>
        <w:t xml:space="preserve"> על מעמד ההסכמים שנחתמו בין המוסד לבין קופות החולים, שלפיו הסכמים מעין אלה הם בבחינת "</w:t>
      </w:r>
      <w:r>
        <w:rPr>
          <w:rFonts w:ascii="David" w:hAnsi="David"/>
          <w:b/>
          <w:bCs/>
          <w:sz w:val="28"/>
          <w:szCs w:val="28"/>
          <w:rtl/>
        </w:rPr>
        <w:t>הסדר נורמטיבי המשלים את הוראות חוק הביטוח הלאומי בכל הנוגע לזכאות נפגע עבודה לגמלאות בעין מסוג טיפול רפואי</w:t>
      </w:r>
      <w:r>
        <w:rPr>
          <w:rFonts w:ascii="David" w:hAnsi="David"/>
          <w:sz w:val="28"/>
          <w:szCs w:val="28"/>
          <w:rtl/>
        </w:rPr>
        <w:t>", וכי החלטות המוסד והקופות בהקשר זה "</w:t>
      </w:r>
      <w:r>
        <w:rPr>
          <w:rFonts w:ascii="David" w:hAnsi="David"/>
          <w:b/>
          <w:bCs/>
          <w:sz w:val="28"/>
          <w:szCs w:val="28"/>
          <w:rtl/>
        </w:rPr>
        <w:t>נתונות לביקורתו השיפוטית של בית הדין</w:t>
      </w:r>
      <w:r>
        <w:rPr>
          <w:rFonts w:ascii="David" w:hAnsi="David"/>
          <w:sz w:val="28"/>
          <w:szCs w:val="28"/>
          <w:rtl/>
        </w:rPr>
        <w:t xml:space="preserve">". בית הדין ציין, כי ההסכמים הרלבנטיים לתובענה (הסכם 1990 והסכם 2003) חסרים התייחסות ספציפית למצב בו המטופל הסיעודי מעסיק עובד זר בביתו, ועל כן יש להידרש לסעיף 26 לחוק החוזים [חלק כללי], תשל"ג – 1973 (להלן – </w:t>
      </w:r>
      <w:r>
        <w:rPr>
          <w:rFonts w:ascii="David" w:hAnsi="David"/>
          <w:b/>
          <w:bCs/>
          <w:sz w:val="28"/>
          <w:szCs w:val="28"/>
          <w:rtl/>
        </w:rPr>
        <w:t>חוק החוזים</w:t>
      </w:r>
      <w:r>
        <w:rPr>
          <w:rFonts w:ascii="David" w:hAnsi="David"/>
          <w:sz w:val="28"/>
          <w:szCs w:val="28"/>
          <w:rtl/>
        </w:rPr>
        <w:t xml:space="preserve">), הקובע כי היעדר פרטים מסוימים בחוזה יכול שיושלם באמצעות נוהג הקיים בין הצדדים. על יסוד הראיות שהיו לפניו קבע בית הדין האזורי כי הנוהג שלפיו במקרה של העסקת עובד זר משלמת הכללית שליש מעלות העסקתו הוכח כדבעי, בין היתר, על יסוד מסמך הקווים המנחים, אשר ביחס אליו נקבע כי הוא רק אשרר את מה שהיה נהוג, לכל הפחות מאז שנת 1998, ולא שינה את המצב בהקשר זה. בית הדין אף הפנה לפסיקת בית הדין האזורי (ב"ל 6634/04 </w:t>
      </w:r>
      <w:r>
        <w:rPr>
          <w:rFonts w:ascii="David" w:hAnsi="David"/>
          <w:b/>
          <w:bCs/>
          <w:sz w:val="28"/>
          <w:szCs w:val="28"/>
          <w:rtl/>
        </w:rPr>
        <w:t>אזולאי – המוסד לביטוח לאומי</w:t>
      </w:r>
      <w:r>
        <w:rPr>
          <w:rFonts w:ascii="David" w:hAnsi="David"/>
          <w:sz w:val="28"/>
          <w:szCs w:val="28"/>
          <w:rtl/>
        </w:rPr>
        <w:t xml:space="preserve"> (15.10.2007) להלן – </w:t>
      </w:r>
      <w:r>
        <w:rPr>
          <w:rFonts w:ascii="David" w:hAnsi="David"/>
          <w:b/>
          <w:bCs/>
          <w:sz w:val="28"/>
          <w:szCs w:val="28"/>
          <w:rtl/>
        </w:rPr>
        <w:t>עניין אזולאי</w:t>
      </w:r>
      <w:r>
        <w:rPr>
          <w:rFonts w:ascii="David" w:hAnsi="David"/>
          <w:sz w:val="28"/>
          <w:szCs w:val="28"/>
          <w:rtl/>
        </w:rPr>
        <w:t xml:space="preserve">), בו צוין, מפורשות, כי הנוהג המקובל במקרה של מתן טיפול סיעודי רפואי באמצעות עובד זר הוא השתתפות בשליש מעלות שכרו. </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sz w:val="28"/>
          <w:szCs w:val="28"/>
          <w:rtl/>
        </w:rPr>
        <w:t xml:space="preserve">גם את טענתו החלופית של מר בגו, לפיה הבסיס לחישוב שליש השכר של העובד הזר איננו נכון, דחה בית הדין. הודגש, כי מר בגו לא הגיש כל ראיה פוזיטיבית שיש בה להצביע על עלות העסקת העובד הזר בשנים הרלוונטיות לתביעה. בנוסף, בית הדין </w:t>
      </w:r>
      <w:r>
        <w:rPr>
          <w:rFonts w:ascii="David" w:hAnsi="David"/>
          <w:sz w:val="28"/>
          <w:szCs w:val="28"/>
          <w:rtl/>
        </w:rPr>
        <w:lastRenderedPageBreak/>
        <w:t xml:space="preserve">ציין כי לאורך השנים השתנה שכרם של העובדים בישראל בכלל, ושל העובדים הזרים בפרט, הן בשל עדכון שכר המינימום מעת לעת; הן בשל עדכון תוספות שכר שונות; והן בשל עדכון ההפקדות לפנסיה. חרף זאת, חוות הדעת שהגיש מר בגו הייתה ליניארית, והתייחסה אך לשנת 2016, מבלי לקחת בחשבון את השינויים האמורים לאורך השנים. </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sz w:val="28"/>
          <w:szCs w:val="28"/>
          <w:rtl/>
        </w:rPr>
        <w:t>על יסוד כל האמור, נדחתה תביעתו של מר בגו (למעט תביעה לסך של 3,000 ₪</w:t>
      </w:r>
      <w:r>
        <w:rPr>
          <w:rFonts w:asciiTheme="minorHAnsi" w:hAnsiTheme="minorHAnsi"/>
          <w:sz w:val="28"/>
          <w:szCs w:val="28"/>
          <w:rtl/>
        </w:rPr>
        <w:t xml:space="preserve"> שעניינה החזר תשלום בעד אביזר רפואי</w:t>
      </w:r>
      <w:r>
        <w:rPr>
          <w:rFonts w:ascii="David" w:hAnsi="David"/>
          <w:sz w:val="28"/>
          <w:szCs w:val="28"/>
          <w:rtl/>
        </w:rPr>
        <w:t xml:space="preserve">). עוד נקבע במפורש כי מר בגו רשאי להעלות במסגרת הליך נפרד טענות בנוגע לתשלום שהוא מקבל מיום 1.1.2016, דהיינו את טענותיו בעניין הסכם 2016. </w:t>
      </w:r>
    </w:p>
    <w:p w:rsidR="006B7836" w:rsidRDefault="006B7836" w:rsidP="006B7836">
      <w:pPr>
        <w:spacing w:after="120" w:line="360" w:lineRule="auto"/>
        <w:ind w:left="284"/>
        <w:contextualSpacing/>
        <w:jc w:val="both"/>
        <w:rPr>
          <w:rFonts w:ascii="David" w:hAnsi="David"/>
          <w:b/>
          <w:bCs/>
          <w:sz w:val="28"/>
          <w:szCs w:val="28"/>
          <w:u w:val="single"/>
        </w:rPr>
      </w:pPr>
    </w:p>
    <w:p w:rsidR="006B7836" w:rsidRDefault="006B7836" w:rsidP="006B7836">
      <w:pPr>
        <w:spacing w:after="120" w:line="360" w:lineRule="auto"/>
        <w:ind w:left="284"/>
        <w:contextualSpacing/>
        <w:jc w:val="both"/>
        <w:rPr>
          <w:rFonts w:ascii="David" w:hAnsi="David"/>
          <w:b/>
          <w:bCs/>
          <w:sz w:val="28"/>
          <w:szCs w:val="28"/>
          <w:u w:val="single"/>
          <w:rtl/>
        </w:rPr>
      </w:pPr>
      <w:r>
        <w:rPr>
          <w:rFonts w:ascii="David" w:hAnsi="David"/>
          <w:b/>
          <w:bCs/>
          <w:sz w:val="28"/>
          <w:szCs w:val="28"/>
          <w:u w:val="single"/>
          <w:rtl/>
        </w:rPr>
        <w:t>נקודת המוצא ומסגרת הדיון</w:t>
      </w:r>
    </w:p>
    <w:p w:rsidR="006B7836" w:rsidRDefault="006B7836" w:rsidP="006B7836">
      <w:pPr>
        <w:numPr>
          <w:ilvl w:val="0"/>
          <w:numId w:val="1"/>
        </w:numPr>
        <w:spacing w:after="120" w:line="360" w:lineRule="auto"/>
        <w:ind w:left="284" w:hanging="426"/>
        <w:contextualSpacing/>
        <w:jc w:val="both"/>
        <w:rPr>
          <w:rFonts w:ascii="David" w:hAnsi="David"/>
          <w:sz w:val="28"/>
          <w:szCs w:val="28"/>
          <w:rtl/>
        </w:rPr>
      </w:pPr>
      <w:r>
        <w:rPr>
          <w:rFonts w:ascii="David" w:hAnsi="David"/>
          <w:sz w:val="28"/>
          <w:szCs w:val="28"/>
          <w:rtl/>
        </w:rPr>
        <w:t xml:space="preserve">בטרם נדון במפורט בשאלות השנויות במחלוקת בין הצדדים, יש להבהיר את נקודת המוצא לדיון ומסגרת הדיון בהליך זה. </w:t>
      </w:r>
    </w:p>
    <w:p w:rsidR="006B7836" w:rsidRDefault="006B7836" w:rsidP="006B7836">
      <w:pPr>
        <w:numPr>
          <w:ilvl w:val="0"/>
          <w:numId w:val="1"/>
        </w:numPr>
        <w:spacing w:after="120" w:line="360" w:lineRule="auto"/>
        <w:ind w:left="284" w:hanging="426"/>
        <w:contextualSpacing/>
        <w:jc w:val="both"/>
        <w:rPr>
          <w:rFonts w:ascii="David" w:hAnsi="David"/>
          <w:sz w:val="28"/>
          <w:szCs w:val="28"/>
        </w:rPr>
      </w:pPr>
      <w:r>
        <w:rPr>
          <w:rFonts w:ascii="David" w:hAnsi="David"/>
          <w:b/>
          <w:bCs/>
          <w:sz w:val="28"/>
          <w:szCs w:val="28"/>
          <w:rtl/>
        </w:rPr>
        <w:t>השאלה העומדת להכרעה – מהות והיקף הזכות לטיפול סיעודי על פי חוק הביטוח הלאומי:</w:t>
      </w:r>
      <w:r>
        <w:rPr>
          <w:rFonts w:ascii="David" w:hAnsi="David"/>
          <w:sz w:val="28"/>
          <w:szCs w:val="28"/>
          <w:rtl/>
        </w:rPr>
        <w:t xml:space="preserve"> הצדדים, ובעיקר המוסד וקופות החולים, מיקדו טענותיהם בהוראות ההסכם שבין המוסד לבין קופות החולים ופרשנותן, לרבות הנוהג שהתגבש בין המוסד לבין קופות החולים. כבר בשלב זה יש להבהיר כי נקודת המוצא לדיון היא </w:t>
      </w:r>
      <w:r>
        <w:rPr>
          <w:rFonts w:ascii="David" w:hAnsi="David"/>
          <w:b/>
          <w:bCs/>
          <w:sz w:val="28"/>
          <w:szCs w:val="28"/>
          <w:rtl/>
        </w:rPr>
        <w:t>זכויותיו של נפגע עבודה על פי החוק</w:t>
      </w:r>
      <w:r>
        <w:rPr>
          <w:rFonts w:ascii="David" w:hAnsi="David"/>
          <w:sz w:val="28"/>
          <w:szCs w:val="28"/>
          <w:rtl/>
        </w:rPr>
        <w:t xml:space="preserve">, שכן על המוסד מוטלת החובה ליתן לנפגע עבודה הן את הגמלאות בעין והן את הגמלאות בכסף – קצבאות ומענקים, בהתאם להוראות החוק והתקנות שהותקנו מכוחו. מכוח סעיף 89(א)(3) לחוק רשאי המוסד ליתן את הגמלאות בעין – ריפוי, החלמה ושיקום – באמצעות גופים אחרים, שהוסמכו על ידי השר כ"שירות רפואי", ולענייננו קופות החולים, ומכוח סעיף 91 לחוק נכרתים ההסכמים בין המוסד לבין קופות החולים להסדרת החובות והזכויות ביניהם, ובין היתר מוגדר הטיפול הרפואי שיינתן על ידי קופת החולים לנפגע עבודה. אולם, אין בכוחם של ההסכמים בין המוסד לבין הקופות, </w:t>
      </w:r>
      <w:r>
        <w:rPr>
          <w:rFonts w:ascii="David" w:hAnsi="David"/>
          <w:b/>
          <w:bCs/>
          <w:sz w:val="28"/>
          <w:szCs w:val="28"/>
          <w:rtl/>
        </w:rPr>
        <w:t>שהם במישור היחסים שבין הקופות לבין המוסד,</w:t>
      </w:r>
      <w:r>
        <w:rPr>
          <w:rFonts w:ascii="David" w:hAnsi="David"/>
          <w:sz w:val="28"/>
          <w:szCs w:val="28"/>
          <w:rtl/>
        </w:rPr>
        <w:t xml:space="preserve"> לגרוע מזכויותיו של נפגע עבודה על פי החוק והתקנות, ומחבותו של המוסד כלפיו על פי הוראות החוק והתקנות. לפיכך, השאלה הטעונה הכרעה אינה רק היקף הטיפול הסיעודי שלו זכאי נפגע עבודה על פי הוראות ההסכמים שבין המוסד לבין הקופות, אלא </w:t>
      </w:r>
      <w:r>
        <w:rPr>
          <w:rFonts w:ascii="David" w:hAnsi="David"/>
          <w:b/>
          <w:bCs/>
          <w:sz w:val="28"/>
          <w:szCs w:val="28"/>
          <w:rtl/>
        </w:rPr>
        <w:t>היקף הזכות לטיפול סיעודי על פי החוק</w:t>
      </w:r>
      <w:r>
        <w:rPr>
          <w:rFonts w:ascii="David" w:hAnsi="David"/>
          <w:sz w:val="28"/>
          <w:szCs w:val="28"/>
          <w:rtl/>
        </w:rPr>
        <w:t xml:space="preserve">, והאם הוראות ההסכמים והתנהלות הקופות עולות בקנה אחד עם הוראות החוק והתקנות. </w:t>
      </w:r>
    </w:p>
    <w:p w:rsidR="006B7836" w:rsidRDefault="006B7836" w:rsidP="006B7836">
      <w:pPr>
        <w:numPr>
          <w:ilvl w:val="0"/>
          <w:numId w:val="1"/>
        </w:numPr>
        <w:spacing w:after="120" w:line="360" w:lineRule="auto"/>
        <w:ind w:left="284" w:hanging="426"/>
        <w:contextualSpacing/>
        <w:jc w:val="both"/>
        <w:rPr>
          <w:rFonts w:ascii="David" w:hAnsi="David"/>
          <w:sz w:val="28"/>
          <w:szCs w:val="28"/>
        </w:rPr>
      </w:pPr>
      <w:r>
        <w:rPr>
          <w:rFonts w:ascii="David" w:hAnsi="David"/>
          <w:b/>
          <w:bCs/>
          <w:sz w:val="28"/>
          <w:szCs w:val="28"/>
          <w:rtl/>
        </w:rPr>
        <w:lastRenderedPageBreak/>
        <w:t>תיחום התקופה הנדונה במסגרת ההליך – עד יום 1.1.2016</w:t>
      </w:r>
      <w:r>
        <w:rPr>
          <w:rFonts w:ascii="David" w:hAnsi="David"/>
          <w:sz w:val="28"/>
          <w:szCs w:val="28"/>
          <w:rtl/>
        </w:rPr>
        <w:t xml:space="preserve">: בפסקי הדין מושא הליך זה נדונו הוראות ההסכמים שבין המוסד לבין הקופות מיום 7.6.1990 (להלן – </w:t>
      </w:r>
      <w:r>
        <w:rPr>
          <w:rFonts w:ascii="David" w:hAnsi="David"/>
          <w:b/>
          <w:bCs/>
          <w:sz w:val="28"/>
          <w:szCs w:val="28"/>
          <w:rtl/>
        </w:rPr>
        <w:t>הסכם 90</w:t>
      </w:r>
      <w:r>
        <w:rPr>
          <w:rFonts w:ascii="David" w:hAnsi="David"/>
          <w:sz w:val="28"/>
          <w:szCs w:val="28"/>
          <w:rtl/>
        </w:rPr>
        <w:t xml:space="preserve">) ומיום 28.6.2003 (להלן – </w:t>
      </w:r>
      <w:r>
        <w:rPr>
          <w:rFonts w:ascii="David" w:hAnsi="David"/>
          <w:b/>
          <w:bCs/>
          <w:sz w:val="28"/>
          <w:szCs w:val="28"/>
          <w:rtl/>
        </w:rPr>
        <w:t>הסכם 2003</w:t>
      </w:r>
      <w:r>
        <w:rPr>
          <w:rFonts w:ascii="David" w:hAnsi="David"/>
          <w:sz w:val="28"/>
          <w:szCs w:val="28"/>
          <w:rtl/>
        </w:rPr>
        <w:t xml:space="preserve">). במהלך ניהול ההליך בעניינו של מר בגו, אשר הוגש בחודש אוקטובר 2013, נחתם בין המוסד לבין קופות החולים ביום 18.5.2016 (להלן – </w:t>
      </w:r>
      <w:r>
        <w:rPr>
          <w:rFonts w:ascii="David" w:hAnsi="David"/>
          <w:b/>
          <w:bCs/>
          <w:sz w:val="28"/>
          <w:szCs w:val="28"/>
          <w:rtl/>
        </w:rPr>
        <w:t>הסכם 2016</w:t>
      </w:r>
      <w:r>
        <w:rPr>
          <w:rFonts w:ascii="David" w:hAnsi="David"/>
          <w:sz w:val="28"/>
          <w:szCs w:val="28"/>
          <w:rtl/>
        </w:rPr>
        <w:t xml:space="preserve">). לאחר שהגיע הסכם 2016 לידיו של מר בגו, עתר מר בגו כי בית הדין יערוך ביקורת שיפוטית על הוראותיו, ולצורך כך אף יבקש את התייחסות המדינה ועמדת היועץ המשפטי לממשלה, שכן לטענתו הוראות הסכם 2016 פוגעות בזכויותיו ובזכויות כלל נכי העבודה. בהחלטה מיום 20.8.2016 המליץ בית הדין למר בגו למחוק את תביעתו, ולהגיש תביעה חדשה שבה ייכללו טענותיו בהתייחס להסכם 2016, לאחר שיקבל מידע מהמדינה.  בבקשה נוספת הודיע מר בגו כי הוא עומד על תביעתו, ועתר כי יותר לו לתקן את כתב התביעה, ולהעלות את טענותיו בהקשר להסכם מאי 2016. בהחלטה מיום 22.9.2016, בטרם ניתנה החלטה בבקשה הנוספת, הורה בית הדין האזורי על הגשת תצהירי עדות ראשית. בהודעה מיום 6.10.2016 חזר בו למעשה מר בגו מבקשתו לתיקון כתב התביעה, נוכח החלטת בית הדין מיום 22.9.2016. כאמור, בפסק הדין הבהיר בית הדין האזורי כי פסק הדין מתייחס לתקופה שעד יום 31.12.2015, וכי כל טענותיו של מר בגו לעניין הסכם 2016 שמורות לו. </w:t>
      </w:r>
    </w:p>
    <w:p w:rsidR="006B7836" w:rsidRDefault="006B7836" w:rsidP="006B7836">
      <w:pPr>
        <w:spacing w:after="120" w:line="360" w:lineRule="auto"/>
        <w:ind w:left="284"/>
        <w:contextualSpacing/>
        <w:jc w:val="both"/>
        <w:rPr>
          <w:rFonts w:ascii="David" w:hAnsi="David"/>
          <w:sz w:val="28"/>
          <w:szCs w:val="28"/>
        </w:rPr>
      </w:pPr>
      <w:r>
        <w:rPr>
          <w:rFonts w:ascii="David" w:hAnsi="David"/>
          <w:sz w:val="28"/>
          <w:szCs w:val="28"/>
          <w:rtl/>
        </w:rPr>
        <w:t xml:space="preserve">גם לפנינו העלה מר בגו טענות כנגד הסכם 2016, וטען כי בהסכם זה </w:t>
      </w:r>
      <w:r>
        <w:rPr>
          <w:rFonts w:ascii="David" w:hAnsi="David"/>
          <w:b/>
          <w:bCs/>
          <w:sz w:val="28"/>
          <w:szCs w:val="28"/>
          <w:rtl/>
        </w:rPr>
        <w:t>"נלקח צעד אחד קדימה ברמיסת זכויותיהם של הנכים הקשים, עת נקבע כי הקופה תשתתף בעלות העסקת מטפל לעזרה סיעודית רפואית בבית מקבל השירות בגובה עד 1/3 מעלות העסקתו של המטפל לפי עלות העסקה מירבית שלא תעלה על 6,900 ₪"</w:t>
      </w:r>
      <w:r>
        <w:rPr>
          <w:rFonts w:ascii="David" w:hAnsi="David"/>
          <w:sz w:val="28"/>
          <w:szCs w:val="28"/>
          <w:rtl/>
        </w:rPr>
        <w:t xml:space="preserve">. לטענת מר בגו, בהתייחס להסכם זה עתר לתיקון כתב התביעה לצורך הוספת טענות המתייחסות להסכם החדש, אולם בית הדין האזורי דחה בקשה זו, וקבע מועדים לשמיעת ראיות הצדדים; לצורך הכרעה במחלוקת שהובאה לפניו, היה על בית הדין האזורי להתייחס גם להסכם 2016, ולא היה מקום לחייב את מר בגו להגיש תביעה חדשה ונפרדת, רק משום שבמהלך ההתדיינות התברר כי המוסד והכללית חתמו על הסכם חדש ביניהם. על כן, על בית הדין הארצי לקיים ביקורת שיפוטית על הסכם 2016. </w:t>
      </w:r>
    </w:p>
    <w:p w:rsidR="006B7836" w:rsidRDefault="006B7836" w:rsidP="006B7836">
      <w:pPr>
        <w:spacing w:after="120" w:line="360" w:lineRule="auto"/>
        <w:ind w:left="284"/>
        <w:contextualSpacing/>
        <w:jc w:val="both"/>
        <w:rPr>
          <w:rFonts w:ascii="David" w:hAnsi="David"/>
          <w:sz w:val="28"/>
          <w:szCs w:val="28"/>
        </w:rPr>
      </w:pPr>
      <w:r>
        <w:rPr>
          <w:rFonts w:ascii="David" w:hAnsi="David"/>
          <w:sz w:val="28"/>
          <w:szCs w:val="28"/>
          <w:rtl/>
        </w:rPr>
        <w:t xml:space="preserve">אין בידינו לקבל את טענתו של מר בגו. </w:t>
      </w:r>
      <w:r>
        <w:rPr>
          <w:rFonts w:ascii="David" w:hAnsi="David"/>
          <w:b/>
          <w:bCs/>
          <w:sz w:val="28"/>
          <w:szCs w:val="28"/>
          <w:rtl/>
        </w:rPr>
        <w:t>ראשית,</w:t>
      </w:r>
      <w:r>
        <w:rPr>
          <w:rFonts w:ascii="David" w:hAnsi="David"/>
          <w:sz w:val="28"/>
          <w:szCs w:val="28"/>
          <w:rtl/>
        </w:rPr>
        <w:t xml:space="preserve"> צדק בית הדין האזורי כי לא ניתן במסגרת ההליך שהוגש בחודש אוקטובר 2013, עת מטבע הדברים לא הועלו בכתב התביעה טענות בהתייחס להסכם 2016, לדון בטענות מר בגו בהתייחס להסכם </w:t>
      </w:r>
      <w:r>
        <w:rPr>
          <w:rFonts w:ascii="David" w:hAnsi="David"/>
          <w:sz w:val="28"/>
          <w:szCs w:val="28"/>
          <w:rtl/>
        </w:rPr>
        <w:lastRenderedPageBreak/>
        <w:t xml:space="preserve">2016. כפועל יוצא מכך, ברור כי לא ניתן במסגרת הערעור לדון בהסכם 2016, שכלל לא נדון בבית הדין האזורי. </w:t>
      </w:r>
      <w:r>
        <w:rPr>
          <w:rFonts w:ascii="David" w:hAnsi="David"/>
          <w:b/>
          <w:bCs/>
          <w:sz w:val="28"/>
          <w:szCs w:val="28"/>
          <w:rtl/>
        </w:rPr>
        <w:t>שנית,</w:t>
      </w:r>
      <w:r>
        <w:rPr>
          <w:rFonts w:ascii="David" w:hAnsi="David"/>
          <w:sz w:val="28"/>
          <w:szCs w:val="28"/>
          <w:rtl/>
        </w:rPr>
        <w:t xml:space="preserve"> אשר להחלטה בבקשה לתיקון כתב התביעה, הרי שבמקרה הנדון משמעות תיקון כתב התביעה הייתה למעשה החזרת ההליך לראשיתו, שכן תיקון כתב התביעה היה מצריך תיקון כתבי ההגנה, וככל הנראה אף צירופה של המדינה להליך, כמי שאישרה את הסכם 2016. בנסיבות אלה, יש פנים לכאן ולכאן אם היה מקום להתיר למר בגו לתקן את כתב התביעה או שהדרך הנכונה היא הגשת תביעה חדשה בעניין הסכם 2016, כפי שקבע בית הדין האזורי. משמדובר בהחלטה דיונית הנתונה לשיקול דעתו של בית הדין האזורי, אין מקום להתערב בה, ובוודאי לא במסגרת הערעור על פסק הדין, כמוסבר להלן. </w:t>
      </w:r>
      <w:r>
        <w:rPr>
          <w:rFonts w:ascii="David" w:hAnsi="David"/>
          <w:b/>
          <w:bCs/>
          <w:sz w:val="28"/>
          <w:szCs w:val="28"/>
          <w:rtl/>
        </w:rPr>
        <w:t xml:space="preserve">שלישית, </w:t>
      </w:r>
      <w:r>
        <w:rPr>
          <w:rFonts w:ascii="David" w:hAnsi="David"/>
          <w:sz w:val="28"/>
          <w:szCs w:val="28"/>
          <w:rtl/>
        </w:rPr>
        <w:t xml:space="preserve">אמנם, בהתאם לתקנה 84 לתקנות בית הדין לעבודה (סדרי דין), תשנ"ב – 1991, ניתן להשיג על החלטת ביניים גם במסגרת הערעור על פסק הדין הסופי. </w:t>
      </w:r>
      <w:r>
        <w:rPr>
          <w:rFonts w:asciiTheme="minorHAnsi" w:hAnsiTheme="minorHAnsi"/>
          <w:sz w:val="28"/>
          <w:szCs w:val="28"/>
          <w:rtl/>
          <w:lang w:eastAsia="he-IL"/>
        </w:rPr>
        <w:t xml:space="preserve">אולם, עת מדובר בבקשה לתיקון כתב תביעה, שבה מבוקש להוסיף </w:t>
      </w:r>
      <w:r>
        <w:rPr>
          <w:rFonts w:asciiTheme="minorHAnsi" w:hAnsiTheme="minorHAnsi"/>
          <w:b/>
          <w:bCs/>
          <w:sz w:val="28"/>
          <w:szCs w:val="28"/>
          <w:rtl/>
          <w:lang w:eastAsia="he-IL"/>
        </w:rPr>
        <w:t>עילת תביעה חדשה</w:t>
      </w:r>
      <w:r>
        <w:rPr>
          <w:rFonts w:asciiTheme="minorHAnsi" w:hAnsiTheme="minorHAnsi"/>
          <w:sz w:val="28"/>
          <w:szCs w:val="28"/>
          <w:rtl/>
          <w:lang w:eastAsia="he-IL"/>
        </w:rPr>
        <w:t xml:space="preserve">, כך שקבלתה כרוכה למעשה בניהולו מחדש של ההליך בעילת תביעה חדשה ובענייננו אף בצירוף בעל דין, יש קושי בכך שבעל הדין לא הגיש בקשת רשות ערעור על ההחלטה אלא מערער עליה רק במסגרת הערעור על פסק הדין. כידוע, אחד השיקולים בהחלטה אם להתיר תיקון כתב תביעה הוא עיתוי הגשת הבקשה, עת נקבע לעניין זה כי </w:t>
      </w:r>
      <w:r>
        <w:rPr>
          <w:rFonts w:asciiTheme="minorHAnsi" w:hAnsiTheme="minorHAnsi"/>
          <w:b/>
          <w:bCs/>
          <w:sz w:val="28"/>
          <w:szCs w:val="28"/>
          <w:rtl/>
        </w:rPr>
        <w:t>"לא הרי בקשה המוגשת בתחילתו של ההליך, אפילו חלף זמן לא מבוטל מתחילתו, כבקשה המוגשת על סיפה של ישיבת ההוכחות ולאחר שכל ההליכים המקדמיים מוצו"</w:t>
      </w:r>
      <w:r>
        <w:rPr>
          <w:rFonts w:asciiTheme="minorHAnsi" w:hAnsiTheme="minorHAnsi"/>
          <w:sz w:val="28"/>
          <w:szCs w:val="28"/>
          <w:rtl/>
          <w:lang w:eastAsia="he-IL"/>
        </w:rPr>
        <w:t xml:space="preserve">  [</w:t>
      </w:r>
      <w:r>
        <w:rPr>
          <w:rFonts w:asciiTheme="minorHAnsi" w:hAnsiTheme="minorHAnsi"/>
          <w:sz w:val="28"/>
          <w:szCs w:val="28"/>
          <w:rtl/>
        </w:rPr>
        <w:t xml:space="preserve">בר"ע (ארצי) 14760-03-12 </w:t>
      </w:r>
      <w:r>
        <w:rPr>
          <w:rFonts w:asciiTheme="minorHAnsi" w:hAnsiTheme="minorHAnsi"/>
          <w:b/>
          <w:bCs/>
          <w:sz w:val="28"/>
          <w:szCs w:val="28"/>
          <w:rtl/>
        </w:rPr>
        <w:t xml:space="preserve">אפלברג עמוס – </w:t>
      </w:r>
      <w:r>
        <w:rPr>
          <w:rFonts w:asciiTheme="minorHAnsi" w:hAnsiTheme="minorHAnsi"/>
          <w:b/>
          <w:bCs/>
          <w:sz w:val="28"/>
          <w:szCs w:val="28"/>
        </w:rPr>
        <w:t>IDI</w:t>
      </w:r>
      <w:r>
        <w:rPr>
          <w:rFonts w:asciiTheme="minorHAnsi" w:hAnsiTheme="minorHAnsi"/>
          <w:b/>
          <w:bCs/>
          <w:sz w:val="28"/>
          <w:szCs w:val="28"/>
          <w:rtl/>
        </w:rPr>
        <w:t xml:space="preserve"> </w:t>
      </w:r>
      <w:r>
        <w:rPr>
          <w:rFonts w:asciiTheme="minorHAnsi" w:hAnsiTheme="minorHAnsi" w:hint="cs"/>
          <w:b/>
          <w:bCs/>
          <w:sz w:val="28"/>
          <w:szCs w:val="28"/>
          <w:rtl/>
        </w:rPr>
        <w:t>מכון היהלומים הישראלי בע"מ</w:t>
      </w:r>
      <w:r>
        <w:rPr>
          <w:rFonts w:asciiTheme="minorHAnsi" w:hAnsiTheme="minorHAnsi"/>
          <w:sz w:val="28"/>
          <w:szCs w:val="28"/>
          <w:rtl/>
        </w:rPr>
        <w:t xml:space="preserve"> (15.7.2012)</w:t>
      </w:r>
      <w:r>
        <w:rPr>
          <w:rFonts w:asciiTheme="minorHAnsi" w:hAnsiTheme="minorHAnsi"/>
          <w:sz w:val="28"/>
          <w:szCs w:val="28"/>
          <w:rtl/>
          <w:lang w:eastAsia="he-IL"/>
        </w:rPr>
        <w:t xml:space="preserve">]. ואם כך בעת שהבקשה לתיקון כתב תביעה מוגשת במהלך ניהול ההליך בערכאה קמא, מקל וחומר מתעצם הקושי בקבלת בקשה לתיקון כתב תביעה בשלב הערעור, ועיתוי הגשת הליך הערעור על ההחלטה הוא אחד השיקולים שעל ערכאת הערעור לשקול [השוו: ראו: ע"ע (ארצי) 27600-10-11 </w:t>
      </w:r>
      <w:r>
        <w:rPr>
          <w:rFonts w:asciiTheme="minorHAnsi" w:hAnsiTheme="minorHAnsi"/>
          <w:b/>
          <w:bCs/>
          <w:sz w:val="28"/>
          <w:szCs w:val="28"/>
          <w:rtl/>
          <w:lang w:eastAsia="he-IL"/>
        </w:rPr>
        <w:t>ד"ר גרשון אהרונוב – המרכז האוניברסיטאי אריאל בשומרון</w:t>
      </w:r>
      <w:r>
        <w:rPr>
          <w:rFonts w:asciiTheme="minorHAnsi" w:hAnsiTheme="minorHAnsi"/>
          <w:sz w:val="28"/>
          <w:szCs w:val="28"/>
          <w:rtl/>
          <w:lang w:eastAsia="he-IL"/>
        </w:rPr>
        <w:t xml:space="preserve"> (22.12.2015)]. בענייננו, מר בגו למעשה חזר בו מבקשתו לתיקון כתב התביעה בהודעתו לבית הדין האזורי מיום </w:t>
      </w:r>
      <w:r>
        <w:rPr>
          <w:rFonts w:ascii="David" w:hAnsi="David"/>
          <w:sz w:val="28"/>
          <w:szCs w:val="28"/>
          <w:rtl/>
        </w:rPr>
        <w:t xml:space="preserve">6.10.2016, ומכל מקום לא הגיש בקשת רשות ערעור על החלטות בית הדין האזורי, שבהן מהותית נדחתה בקשתו לתיקון כתב התביעה. לטעמנו, בנסיבות המקרה הנדון, משקבענו כי לא ניתן לדון במסגרת הליך הערעור בטענות מר בגו בנוגע להסכם 2016, אין מקום להיעתר לבקשה לתיקון כתב התביעה, ולהחזיר את הדיון בהליך לבית הדין האזורי בעניין הסכם 2016, </w:t>
      </w:r>
      <w:r>
        <w:rPr>
          <w:rFonts w:ascii="David" w:hAnsi="David"/>
          <w:sz w:val="28"/>
          <w:szCs w:val="28"/>
          <w:rtl/>
        </w:rPr>
        <w:lastRenderedPageBreak/>
        <w:t xml:space="preserve">דהיינו בעילת תביעה חדשה, שלצורך בירורה אפשר שנדרש גם צירוף המדינה. משהוגש ערעור על ההחלטה רק במסגרת הערעור,  אין למעשה  שוני בין החזרת הדיון לבית הדין האזורי במסגרת הליך זה או ניהול הליך החדש. כפי שקבע בית הדין האזורי, כל טענותיו של מר בגו בנוגע להסכם 2016 ולתשלומים ששולמו לו מיום 1.1.2016 ואילך שמורות לו, למעט אותן טענות שבהן הכרעה בהליך זה תיצור השתק פלוגתא לגביהן. </w:t>
      </w:r>
    </w:p>
    <w:p w:rsidR="006B7836" w:rsidRDefault="006B7836" w:rsidP="006B7836">
      <w:pPr>
        <w:numPr>
          <w:ilvl w:val="0"/>
          <w:numId w:val="1"/>
        </w:numPr>
        <w:spacing w:line="360" w:lineRule="auto"/>
        <w:ind w:left="283" w:hanging="425"/>
        <w:jc w:val="both"/>
        <w:rPr>
          <w:rFonts w:ascii="David" w:hAnsi="David"/>
          <w:sz w:val="28"/>
          <w:szCs w:val="28"/>
          <w:rtl/>
        </w:rPr>
      </w:pPr>
      <w:r>
        <w:rPr>
          <w:rFonts w:ascii="David" w:hAnsi="David"/>
          <w:b/>
          <w:bCs/>
          <w:sz w:val="28"/>
          <w:szCs w:val="28"/>
          <w:rtl/>
        </w:rPr>
        <w:t>תיחום הדיון בערעור לתביעה לזכויות מכוח חוק הביטוח הלאומי בלבד:</w:t>
      </w:r>
      <w:r>
        <w:rPr>
          <w:rFonts w:ascii="David" w:hAnsi="David"/>
          <w:sz w:val="28"/>
          <w:szCs w:val="28"/>
          <w:rtl/>
        </w:rPr>
        <w:t xml:space="preserve"> לטענת מר בגו, במשא ומתן לפשרה שניהל בגדרי ההליך הנזיקי, למול חברת הביטוח הרלוונטית לתאונת הדרכים שעבר, הציגה לו הכללית מצגים לפיהם הוא יהא זכאי ממנה לסכום של 4,500 ₪ לחודש למימון הטיפול הסיעודי-רפואי. על יסוד מצגים אלו, נכרת בינו ובין חברת הביטוח הסכם הפשרה כפי שנכרת, ועל הסכום שנכרת. על כן, אין לאפשר לכללית להתנער מן המצגים שהציגה, עליהם הסתמך בשעתו. הכללית טענה כי מר בגו לא הציג כל ראיה לתמיכה בטענה זו, וכי בפרקטיקה הנהוגה אצלה, הרי שכאשר עמדתה נדרשת במסגרת הליך משפטי לו היא אינה צד, היא מוסרת עמדה עקרונית בלבד, מבלי להתייחס למספרים וסכומים קונקרטיים. על כן, לא סביר כי ככל שנתנה למר בגו אי אלו מצגים, במסגרת ההליך הנזיקי שניהל, היא נקבה בסכומים מדויקים.</w:t>
      </w:r>
    </w:p>
    <w:p w:rsidR="006B7836" w:rsidRDefault="006B7836" w:rsidP="006B7836">
      <w:pPr>
        <w:spacing w:line="360" w:lineRule="auto"/>
        <w:ind w:left="283"/>
        <w:jc w:val="both"/>
        <w:rPr>
          <w:rFonts w:ascii="David" w:hAnsi="David"/>
          <w:sz w:val="28"/>
          <w:szCs w:val="28"/>
        </w:rPr>
      </w:pPr>
      <w:r>
        <w:rPr>
          <w:rFonts w:ascii="David" w:hAnsi="David"/>
          <w:sz w:val="28"/>
          <w:szCs w:val="28"/>
          <w:rtl/>
        </w:rPr>
        <w:t xml:space="preserve">דין טענה זו של מר בגו להידחות בשל </w:t>
      </w:r>
      <w:r>
        <w:rPr>
          <w:rFonts w:ascii="David" w:hAnsi="David"/>
          <w:b/>
          <w:bCs/>
          <w:sz w:val="28"/>
          <w:szCs w:val="28"/>
          <w:rtl/>
        </w:rPr>
        <w:t>העדר סמכות עניינית</w:t>
      </w:r>
      <w:r>
        <w:rPr>
          <w:rFonts w:ascii="David" w:hAnsi="David"/>
          <w:sz w:val="28"/>
          <w:szCs w:val="28"/>
          <w:rtl/>
        </w:rPr>
        <w:t xml:space="preserve">, מבלי שנתייחס אליה לגופה. טענת מר בגו היא למעשה טענה למצג שווא רשלני, דהיינו מדובר </w:t>
      </w:r>
      <w:r>
        <w:rPr>
          <w:rFonts w:ascii="David" w:hAnsi="David"/>
          <w:b/>
          <w:bCs/>
          <w:sz w:val="28"/>
          <w:szCs w:val="28"/>
          <w:rtl/>
        </w:rPr>
        <w:t>בעילת תביעה נזיקית,</w:t>
      </w:r>
      <w:r>
        <w:rPr>
          <w:rFonts w:ascii="David" w:hAnsi="David"/>
          <w:sz w:val="28"/>
          <w:szCs w:val="28"/>
          <w:rtl/>
        </w:rPr>
        <w:t xml:space="preserve"> שאינה בסמכותו העניינית של בית דין זה, המוגבלת (בהקשר שלפנינו) לבחינת זכויותיו של מר בגו על פי חוק הביטוח הלאומי. עניין דומה נדון בעניין </w:t>
      </w:r>
      <w:r>
        <w:rPr>
          <w:rFonts w:ascii="David" w:hAnsi="David"/>
          <w:b/>
          <w:bCs/>
          <w:sz w:val="28"/>
          <w:szCs w:val="28"/>
          <w:rtl/>
        </w:rPr>
        <w:t>אזבארגה</w:t>
      </w:r>
      <w:r>
        <w:rPr>
          <w:rFonts w:ascii="David" w:hAnsi="David"/>
          <w:sz w:val="28"/>
          <w:szCs w:val="28"/>
          <w:rtl/>
        </w:rPr>
        <w:t xml:space="preserve"> [עב"ל (ארצי) 17476-05-15 </w:t>
      </w:r>
      <w:r>
        <w:rPr>
          <w:rFonts w:ascii="David" w:hAnsi="David"/>
          <w:b/>
          <w:bCs/>
          <w:sz w:val="28"/>
          <w:szCs w:val="28"/>
          <w:rtl/>
        </w:rPr>
        <w:t>איסמעיל אזבארגה – המוסד לביטוח לאומי</w:t>
      </w:r>
      <w:r>
        <w:rPr>
          <w:rFonts w:ascii="David" w:hAnsi="David"/>
          <w:sz w:val="28"/>
          <w:szCs w:val="28"/>
          <w:rtl/>
        </w:rPr>
        <w:t xml:space="preserve"> (17.6.2018)], שגם בו (בשלב הערעור) ביסס המערער את תביעתו על מצג שלטענתו יצרו המוסד והכללית במסגרת הדיון בתביעתו הנזיקית. נפסק, כי לבית הדין לעבודה סמכות ייחודית לדון בתביעה שעניינה היקף זכאותו של מבוטח, לרבות שיעור התשלום, בגין טיפול סיעודי שהוא זכאי לו מהקופה על פי חוק הביטוח הלאומי והתקנות מכוחו, אולם "</w:t>
      </w:r>
      <w:r>
        <w:rPr>
          <w:rFonts w:ascii="David" w:hAnsi="David"/>
          <w:b/>
          <w:bCs/>
          <w:sz w:val="28"/>
          <w:szCs w:val="28"/>
          <w:rtl/>
        </w:rPr>
        <w:t>עילת התביעה המבוססת על המצג שיצרו המוסד והקופה, לטענתו של המערער, אינה מצויה בסמכותו העניינית של בית הדין לעבודה</w:t>
      </w:r>
      <w:r>
        <w:rPr>
          <w:rFonts w:ascii="David" w:hAnsi="David"/>
          <w:sz w:val="28"/>
          <w:szCs w:val="28"/>
          <w:rtl/>
        </w:rPr>
        <w:t xml:space="preserve">". זאת, מהטעמים שפורטו שם בהרחבה, שאין מקום לחזור עליהם. </w:t>
      </w:r>
    </w:p>
    <w:p w:rsidR="006B7836" w:rsidRDefault="006B7836" w:rsidP="006B7836">
      <w:pPr>
        <w:spacing w:line="360" w:lineRule="auto"/>
        <w:ind w:left="283"/>
        <w:jc w:val="both"/>
        <w:rPr>
          <w:rFonts w:ascii="David" w:hAnsi="David"/>
          <w:sz w:val="28"/>
          <w:szCs w:val="28"/>
          <w:rtl/>
        </w:rPr>
      </w:pPr>
      <w:r>
        <w:rPr>
          <w:rFonts w:ascii="David" w:hAnsi="David"/>
          <w:sz w:val="28"/>
          <w:szCs w:val="28"/>
          <w:rtl/>
        </w:rPr>
        <w:lastRenderedPageBreak/>
        <w:t xml:space="preserve">משכך, דין טענה זו של מר בגו להידחות בשל חוסר סמכות עניינית, מבלי שאנו מביעים עמדה לכאן או לכאן בנוגע אליה. </w:t>
      </w:r>
    </w:p>
    <w:p w:rsidR="006B7836" w:rsidRDefault="006B7836" w:rsidP="006B7836">
      <w:pPr>
        <w:spacing w:after="120" w:line="360" w:lineRule="auto"/>
        <w:ind w:left="-144" w:right="-284" w:firstLine="432"/>
        <w:jc w:val="both"/>
        <w:rPr>
          <w:rFonts w:ascii="David" w:hAnsi="David"/>
          <w:b/>
          <w:bCs/>
          <w:sz w:val="28"/>
          <w:szCs w:val="28"/>
          <w:u w:val="single"/>
        </w:rPr>
      </w:pPr>
    </w:p>
    <w:p w:rsidR="00CC6AB9" w:rsidRDefault="00CC6AB9">
      <w:pPr>
        <w:bidi w:val="0"/>
        <w:rPr>
          <w:rFonts w:ascii="David" w:hAnsi="David"/>
          <w:b/>
          <w:bCs/>
          <w:sz w:val="28"/>
          <w:szCs w:val="28"/>
          <w:u w:val="single"/>
          <w:rtl/>
        </w:rPr>
      </w:pPr>
      <w:r>
        <w:rPr>
          <w:rFonts w:ascii="David" w:hAnsi="David"/>
          <w:b/>
          <w:bCs/>
          <w:sz w:val="28"/>
          <w:szCs w:val="28"/>
          <w:u w:val="single"/>
          <w:rtl/>
        </w:rPr>
        <w:br w:type="page"/>
      </w:r>
    </w:p>
    <w:p w:rsidR="006B7836" w:rsidRDefault="006B7836" w:rsidP="006B7836">
      <w:pPr>
        <w:spacing w:after="120" w:line="360" w:lineRule="auto"/>
        <w:ind w:left="-144" w:right="-284" w:firstLine="432"/>
        <w:jc w:val="both"/>
        <w:rPr>
          <w:rFonts w:ascii="David" w:hAnsi="David"/>
          <w:b/>
          <w:bCs/>
          <w:sz w:val="28"/>
          <w:szCs w:val="28"/>
          <w:u w:val="single"/>
          <w:rtl/>
        </w:rPr>
      </w:pPr>
      <w:r>
        <w:rPr>
          <w:rFonts w:ascii="David" w:hAnsi="David"/>
          <w:b/>
          <w:bCs/>
          <w:sz w:val="28"/>
          <w:szCs w:val="28"/>
          <w:u w:val="single"/>
          <w:rtl/>
        </w:rPr>
        <w:lastRenderedPageBreak/>
        <w:t xml:space="preserve">השאלות השנויות במחלוקת בין הצדדים: </w:t>
      </w:r>
    </w:p>
    <w:p w:rsidR="006B7836" w:rsidRDefault="006B7836" w:rsidP="006B7836">
      <w:pPr>
        <w:numPr>
          <w:ilvl w:val="0"/>
          <w:numId w:val="1"/>
        </w:numPr>
        <w:spacing w:line="360" w:lineRule="auto"/>
        <w:ind w:left="283" w:hanging="425"/>
        <w:jc w:val="both"/>
        <w:rPr>
          <w:rFonts w:ascii="David" w:hAnsi="David"/>
          <w:sz w:val="28"/>
          <w:szCs w:val="28"/>
          <w:rtl/>
        </w:rPr>
      </w:pPr>
      <w:r>
        <w:rPr>
          <w:rFonts w:ascii="David" w:hAnsi="David"/>
          <w:sz w:val="28"/>
          <w:szCs w:val="28"/>
          <w:rtl/>
        </w:rPr>
        <w:t>השאלות העיקריות השנויות במחלוקת בין הצדדים, והמשותפות לשני הערעורים הן:</w:t>
      </w:r>
    </w:p>
    <w:p w:rsidR="006B7836" w:rsidRDefault="006B7836" w:rsidP="006B7836">
      <w:pPr>
        <w:spacing w:line="360" w:lineRule="auto"/>
        <w:ind w:left="720" w:hanging="432"/>
        <w:jc w:val="both"/>
        <w:rPr>
          <w:rFonts w:asciiTheme="minorHAnsi" w:hAnsiTheme="minorHAnsi"/>
          <w:sz w:val="28"/>
          <w:szCs w:val="28"/>
        </w:rPr>
      </w:pPr>
      <w:r>
        <w:rPr>
          <w:rFonts w:ascii="David" w:hAnsi="David"/>
          <w:sz w:val="28"/>
          <w:szCs w:val="28"/>
          <w:rtl/>
        </w:rPr>
        <w:t>א.</w:t>
      </w:r>
      <w:r>
        <w:rPr>
          <w:rFonts w:ascii="David" w:hAnsi="David"/>
          <w:sz w:val="28"/>
          <w:szCs w:val="28"/>
          <w:rtl/>
        </w:rPr>
        <w:tab/>
      </w:r>
      <w:r>
        <w:rPr>
          <w:rFonts w:asciiTheme="minorHAnsi" w:hAnsiTheme="minorHAnsi"/>
          <w:b/>
          <w:bCs/>
          <w:sz w:val="28"/>
          <w:szCs w:val="28"/>
          <w:rtl/>
        </w:rPr>
        <w:t xml:space="preserve">מהות ותכלית הקצבה המיוחדת: </w:t>
      </w:r>
      <w:r>
        <w:rPr>
          <w:rFonts w:asciiTheme="minorHAnsi" w:hAnsiTheme="minorHAnsi"/>
          <w:sz w:val="28"/>
          <w:szCs w:val="28"/>
          <w:rtl/>
        </w:rPr>
        <w:t xml:space="preserve">האם הקצבה המיוחדת שלה זכאי נפגע עבודה מיועדת למימון טיפול סיעודי בנפגע עבודה או לצרכים אחרים? האם יש להתחשב בשיעור הקצבה המיוחדת בעת בחינת המימון לטיפול סיעודי שזכאי לו נפגע עבודה? </w:t>
      </w:r>
    </w:p>
    <w:p w:rsidR="006B7836" w:rsidRDefault="006B7836" w:rsidP="006B7836">
      <w:pPr>
        <w:spacing w:line="360" w:lineRule="auto"/>
        <w:ind w:left="720" w:hanging="432"/>
        <w:jc w:val="both"/>
        <w:rPr>
          <w:rFonts w:asciiTheme="minorHAnsi" w:hAnsiTheme="minorHAnsi"/>
          <w:sz w:val="28"/>
          <w:szCs w:val="28"/>
          <w:rtl/>
        </w:rPr>
      </w:pPr>
      <w:r>
        <w:rPr>
          <w:rFonts w:asciiTheme="minorHAnsi" w:hAnsiTheme="minorHAnsi"/>
          <w:sz w:val="28"/>
          <w:szCs w:val="28"/>
          <w:rtl/>
        </w:rPr>
        <w:t>ב.</w:t>
      </w:r>
      <w:r>
        <w:rPr>
          <w:rFonts w:asciiTheme="minorHAnsi" w:hAnsiTheme="minorHAnsi"/>
          <w:sz w:val="28"/>
          <w:szCs w:val="28"/>
          <w:rtl/>
        </w:rPr>
        <w:tab/>
      </w:r>
      <w:r>
        <w:rPr>
          <w:rFonts w:asciiTheme="minorHAnsi" w:hAnsiTheme="minorHAnsi"/>
          <w:b/>
          <w:bCs/>
          <w:sz w:val="28"/>
          <w:szCs w:val="28"/>
          <w:rtl/>
        </w:rPr>
        <w:t>מהות והיקף הטיפול הסיעודי שקופות חולים חייבות לספק לנפגעי עבודה:</w:t>
      </w:r>
      <w:r>
        <w:rPr>
          <w:rFonts w:asciiTheme="minorHAnsi" w:hAnsiTheme="minorHAnsi"/>
          <w:sz w:val="28"/>
          <w:szCs w:val="28"/>
          <w:rtl/>
        </w:rPr>
        <w:t xml:space="preserve"> האם טיפול סיעודי רפואי בלבד, כטענת המוסד וקופות החולים, המקובלת בשלב הערעור גם על מר בגו, או שאין להבחין בין "טיפול סיעודי כללי", דהיינו סיוע בפעולות היום יום (פעולות </w:t>
      </w:r>
      <w:r>
        <w:rPr>
          <w:rFonts w:asciiTheme="minorHAnsi" w:hAnsiTheme="minorHAnsi"/>
          <w:sz w:val="28"/>
          <w:szCs w:val="28"/>
        </w:rPr>
        <w:t>ADL</w:t>
      </w:r>
      <w:r>
        <w:rPr>
          <w:rFonts w:asciiTheme="minorHAnsi" w:hAnsiTheme="minorHAnsi"/>
          <w:sz w:val="28"/>
          <w:szCs w:val="28"/>
          <w:rtl/>
        </w:rPr>
        <w:t>), לבין "טיפול סיעודי רפואי", ושניהם בגדר "טיפול רפואי" שעל קופת החולים ליתן לנפגעי עבודה? מה היקף הטיפול הסיעודי שעל קופת החולים לממן לנפגע עבודה?</w:t>
      </w:r>
    </w:p>
    <w:p w:rsidR="006B7836" w:rsidRDefault="006B7836" w:rsidP="006B7836">
      <w:pPr>
        <w:spacing w:line="360" w:lineRule="auto"/>
        <w:ind w:left="720" w:hanging="432"/>
        <w:jc w:val="both"/>
        <w:rPr>
          <w:rFonts w:asciiTheme="minorHAnsi" w:hAnsiTheme="minorHAnsi"/>
          <w:sz w:val="28"/>
          <w:szCs w:val="28"/>
          <w:rtl/>
        </w:rPr>
      </w:pPr>
      <w:r>
        <w:rPr>
          <w:rFonts w:asciiTheme="minorHAnsi" w:hAnsiTheme="minorHAnsi"/>
          <w:sz w:val="28"/>
          <w:szCs w:val="28"/>
          <w:rtl/>
        </w:rPr>
        <w:t>ג.</w:t>
      </w:r>
      <w:r>
        <w:rPr>
          <w:rFonts w:asciiTheme="minorHAnsi" w:hAnsiTheme="minorHAnsi"/>
          <w:sz w:val="28"/>
          <w:szCs w:val="28"/>
          <w:rtl/>
        </w:rPr>
        <w:tab/>
      </w:r>
      <w:r>
        <w:rPr>
          <w:rFonts w:asciiTheme="minorHAnsi" w:hAnsiTheme="minorHAnsi"/>
          <w:b/>
          <w:bCs/>
          <w:sz w:val="28"/>
          <w:szCs w:val="28"/>
          <w:rtl/>
        </w:rPr>
        <w:t>שיעור המימון לטיפול סיעודי:</w:t>
      </w:r>
      <w:r>
        <w:rPr>
          <w:rFonts w:asciiTheme="minorHAnsi" w:hAnsiTheme="minorHAnsi"/>
          <w:sz w:val="28"/>
          <w:szCs w:val="28"/>
          <w:rtl/>
        </w:rPr>
        <w:t xml:space="preserve"> מה הוא שיעור המימון שעל קופת החולים לשאת בו. האם, כגרסת הקופות והמוסד, שליש מעלות העסקתו של עובד סיעודי זר, או שיעור אחר? אלו מרכיבים יש להביא בחשבון בעריכת תחשיב מימון הקופה לטיפול סיעודי? ממחלוקת זו נגזרות מחלוקות נוספות, בעיקר בערעורו של מר בגו – האם מדובר בהחזר הוצאות בפועל שנשא בהן נפגע עבודה ונטל ההוכחה בנוגע לעלות העסקתו של העובד הזר. </w:t>
      </w:r>
    </w:p>
    <w:p w:rsidR="006B7836" w:rsidRDefault="006B7836" w:rsidP="006B7836">
      <w:pPr>
        <w:spacing w:after="120" w:line="360" w:lineRule="auto"/>
        <w:ind w:left="284" w:right="-284"/>
        <w:contextualSpacing/>
        <w:jc w:val="both"/>
        <w:rPr>
          <w:rFonts w:ascii="David" w:hAnsi="David"/>
          <w:b/>
          <w:bCs/>
          <w:sz w:val="28"/>
          <w:szCs w:val="28"/>
          <w:u w:val="single"/>
          <w:rtl/>
        </w:rPr>
      </w:pPr>
    </w:p>
    <w:p w:rsidR="006B7836" w:rsidRDefault="006B7836" w:rsidP="006B7836">
      <w:pPr>
        <w:spacing w:after="120" w:line="360" w:lineRule="auto"/>
        <w:ind w:left="284" w:right="-284"/>
        <w:contextualSpacing/>
        <w:jc w:val="both"/>
        <w:rPr>
          <w:rFonts w:ascii="David" w:hAnsi="David"/>
          <w:b/>
          <w:bCs/>
          <w:sz w:val="28"/>
          <w:szCs w:val="28"/>
          <w:u w:val="single"/>
          <w:rtl/>
        </w:rPr>
      </w:pPr>
      <w:r>
        <w:rPr>
          <w:rFonts w:ascii="David" w:hAnsi="David"/>
          <w:b/>
          <w:bCs/>
          <w:sz w:val="28"/>
          <w:szCs w:val="28"/>
          <w:u w:val="single"/>
          <w:rtl/>
        </w:rPr>
        <w:t>דיון והכרעה</w:t>
      </w:r>
    </w:p>
    <w:p w:rsidR="006B7836" w:rsidRDefault="006B7836" w:rsidP="006B7836">
      <w:pPr>
        <w:spacing w:after="120" w:line="360" w:lineRule="auto"/>
        <w:ind w:left="284" w:right="-284"/>
        <w:contextualSpacing/>
        <w:jc w:val="both"/>
        <w:rPr>
          <w:rFonts w:ascii="David" w:hAnsi="David"/>
          <w:b/>
          <w:bCs/>
          <w:sz w:val="28"/>
          <w:szCs w:val="28"/>
          <w:rtl/>
        </w:rPr>
      </w:pPr>
      <w:r>
        <w:rPr>
          <w:rFonts w:ascii="David" w:hAnsi="David"/>
          <w:b/>
          <w:bCs/>
          <w:sz w:val="28"/>
          <w:szCs w:val="28"/>
          <w:rtl/>
        </w:rPr>
        <w:t>המסגרת הנורמטיבית:</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sz w:val="28"/>
          <w:szCs w:val="28"/>
          <w:rtl/>
        </w:rPr>
        <w:t xml:space="preserve">פרק ה' לחוק עוסק בביטוח נפגעי עבודה, הזכאים לקבלת גמלאות שונות. סימן ג' לפרק זה עוסק בזכאות נפגעי עבודה לקבלת </w:t>
      </w:r>
      <w:r>
        <w:rPr>
          <w:rFonts w:ascii="David" w:hAnsi="David"/>
          <w:b/>
          <w:bCs/>
          <w:sz w:val="28"/>
          <w:szCs w:val="28"/>
          <w:rtl/>
        </w:rPr>
        <w:t>גמלאות בעין</w:t>
      </w:r>
      <w:r>
        <w:rPr>
          <w:rFonts w:ascii="David" w:hAnsi="David"/>
          <w:sz w:val="28"/>
          <w:szCs w:val="28"/>
          <w:rtl/>
        </w:rPr>
        <w:t>. כך, סעיף 86(א) לחוק קובע כדלקמן:</w:t>
      </w:r>
    </w:p>
    <w:p w:rsidR="006B7836" w:rsidRDefault="006B7836" w:rsidP="006B7836">
      <w:pPr>
        <w:tabs>
          <w:tab w:val="left" w:pos="7938"/>
        </w:tabs>
        <w:spacing w:after="240"/>
        <w:ind w:left="1134" w:right="567"/>
        <w:contextualSpacing/>
        <w:jc w:val="both"/>
        <w:rPr>
          <w:rFonts w:ascii="David" w:hAnsi="David"/>
          <w:b/>
          <w:bCs/>
          <w:sz w:val="28"/>
          <w:szCs w:val="28"/>
        </w:rPr>
      </w:pPr>
      <w:r>
        <w:rPr>
          <w:rFonts w:ascii="David" w:hAnsi="David"/>
          <w:sz w:val="28"/>
          <w:szCs w:val="28"/>
          <w:rtl/>
        </w:rPr>
        <w:t>"</w:t>
      </w:r>
      <w:r>
        <w:rPr>
          <w:rFonts w:ascii="David" w:hAnsi="David"/>
          <w:b/>
          <w:bCs/>
          <w:sz w:val="28"/>
          <w:szCs w:val="28"/>
          <w:rtl/>
        </w:rPr>
        <w:t>פגיעה בעבודה מזכה את המבוטח לריפוי, להחלמה, לשיקום רפואי ולשיקום מקצועי, בהתאם להוראות סימן זה.</w:t>
      </w:r>
      <w:r>
        <w:rPr>
          <w:rFonts w:ascii="David" w:hAnsi="David"/>
          <w:sz w:val="28"/>
          <w:szCs w:val="28"/>
          <w:rtl/>
        </w:rPr>
        <w:t>"</w:t>
      </w:r>
      <w:r>
        <w:rPr>
          <w:rFonts w:ascii="David" w:hAnsi="David"/>
          <w:b/>
          <w:bCs/>
          <w:sz w:val="28"/>
          <w:szCs w:val="28"/>
          <w:rtl/>
        </w:rPr>
        <w:t xml:space="preserve"> </w:t>
      </w:r>
    </w:p>
    <w:p w:rsidR="006B7836" w:rsidRDefault="006B7836" w:rsidP="006B7836">
      <w:pPr>
        <w:tabs>
          <w:tab w:val="left" w:pos="7938"/>
        </w:tabs>
        <w:spacing w:after="240"/>
        <w:ind w:left="1134" w:right="567"/>
        <w:contextualSpacing/>
        <w:jc w:val="both"/>
        <w:rPr>
          <w:rFonts w:ascii="David" w:hAnsi="David"/>
          <w:b/>
          <w:bCs/>
          <w:sz w:val="28"/>
          <w:szCs w:val="28"/>
          <w:rtl/>
        </w:rPr>
      </w:pPr>
    </w:p>
    <w:p w:rsidR="006B7836" w:rsidRDefault="006B7836" w:rsidP="006B7836">
      <w:pPr>
        <w:spacing w:line="360" w:lineRule="auto"/>
        <w:ind w:left="283"/>
        <w:jc w:val="both"/>
        <w:rPr>
          <w:rFonts w:ascii="David" w:hAnsi="David"/>
          <w:sz w:val="28"/>
          <w:szCs w:val="28"/>
        </w:rPr>
      </w:pPr>
      <w:r>
        <w:rPr>
          <w:rFonts w:ascii="David" w:hAnsi="David"/>
          <w:sz w:val="28"/>
          <w:szCs w:val="28"/>
          <w:rtl/>
        </w:rPr>
        <w:t>סעיף 86(ב) קובע כי המונח "</w:t>
      </w:r>
      <w:r>
        <w:rPr>
          <w:rFonts w:ascii="David" w:hAnsi="David"/>
          <w:b/>
          <w:bCs/>
          <w:sz w:val="28"/>
          <w:szCs w:val="28"/>
          <w:rtl/>
        </w:rPr>
        <w:t>ריפוי</w:t>
      </w:r>
      <w:r>
        <w:rPr>
          <w:rFonts w:ascii="David" w:hAnsi="David"/>
          <w:sz w:val="28"/>
          <w:szCs w:val="28"/>
          <w:rtl/>
        </w:rPr>
        <w:t>" משמעו – "</w:t>
      </w:r>
      <w:r>
        <w:rPr>
          <w:rFonts w:ascii="David" w:hAnsi="David"/>
          <w:b/>
          <w:bCs/>
          <w:sz w:val="28"/>
          <w:szCs w:val="28"/>
          <w:rtl/>
        </w:rPr>
        <w:t>לרבות אשפוז, רפואות ומכשירים אורתופדיים ותירפויטיים, הספקתם, תיקונם או החלפתם</w:t>
      </w:r>
      <w:r>
        <w:rPr>
          <w:rFonts w:ascii="David" w:hAnsi="David"/>
          <w:sz w:val="28"/>
          <w:szCs w:val="28"/>
          <w:rtl/>
        </w:rPr>
        <w:t>". סעיף 87(א) לחוק קובע כי  "</w:t>
      </w:r>
      <w:r>
        <w:rPr>
          <w:rFonts w:ascii="David" w:hAnsi="David"/>
          <w:b/>
          <w:bCs/>
          <w:sz w:val="28"/>
          <w:szCs w:val="28"/>
          <w:rtl/>
        </w:rPr>
        <w:t xml:space="preserve">ריפוי יינתן במידה שהפגיעה בעבודה ותוצאותיה מחייבות לתתו; </w:t>
      </w:r>
      <w:r>
        <w:rPr>
          <w:rFonts w:ascii="David" w:hAnsi="David"/>
          <w:b/>
          <w:bCs/>
          <w:sz w:val="28"/>
          <w:szCs w:val="28"/>
          <w:rtl/>
        </w:rPr>
        <w:lastRenderedPageBreak/>
        <w:t>היקפו ודרכו של הריפוי ייקבעו בתקנות</w:t>
      </w:r>
      <w:r>
        <w:rPr>
          <w:rFonts w:ascii="David" w:hAnsi="David"/>
          <w:sz w:val="28"/>
          <w:szCs w:val="28"/>
          <w:rtl/>
        </w:rPr>
        <w:t>". הוראה דומה לעניין מתן החלמה ושיקום רפואי ומקצועי מצויה בסעיף 88 לחוק, שלשונו: "</w:t>
      </w:r>
      <w:r>
        <w:rPr>
          <w:rFonts w:ascii="David" w:hAnsi="David"/>
          <w:b/>
          <w:bCs/>
          <w:sz w:val="28"/>
          <w:szCs w:val="28"/>
          <w:rtl/>
        </w:rPr>
        <w:t>החלמה, שיקום רפואי ושיקום מקצועי יינתנו במידה ובאופן שנקבעו בתקנות ובהוראות המוסד שניתנו במסגרת התקנות, אושרו בידי השר ופורסמו בדרך שהורה</w:t>
      </w:r>
      <w:r>
        <w:rPr>
          <w:rFonts w:ascii="David" w:hAnsi="David"/>
          <w:sz w:val="28"/>
          <w:szCs w:val="28"/>
          <w:rtl/>
        </w:rPr>
        <w:t>". סעיף 89(א)(3) לחוק קובע, כי יש ויינתנו הריפוי, ההחלמה והשיקום הרפואי והמקצועי "</w:t>
      </w:r>
      <w:r>
        <w:rPr>
          <w:rFonts w:ascii="David" w:hAnsi="David"/>
          <w:b/>
          <w:bCs/>
          <w:sz w:val="28"/>
          <w:szCs w:val="28"/>
          <w:rtl/>
        </w:rPr>
        <w:t>באמצעות</w:t>
      </w:r>
      <w:r>
        <w:rPr>
          <w:rFonts w:ascii="David" w:hAnsi="David"/>
          <w:sz w:val="28"/>
          <w:szCs w:val="28"/>
          <w:rtl/>
        </w:rPr>
        <w:t xml:space="preserve"> </w:t>
      </w:r>
      <w:r>
        <w:rPr>
          <w:rFonts w:ascii="David" w:hAnsi="David"/>
          <w:b/>
          <w:bCs/>
          <w:sz w:val="28"/>
          <w:szCs w:val="28"/>
          <w:rtl/>
        </w:rPr>
        <w:t>גוף שהשר הסמיכו כשירות רפואי לאחר שהתייעץ עם שר הבריאות</w:t>
      </w:r>
      <w:r>
        <w:rPr>
          <w:rFonts w:ascii="David" w:hAnsi="David"/>
          <w:sz w:val="28"/>
          <w:szCs w:val="28"/>
          <w:rtl/>
        </w:rPr>
        <w:t>". ואכן, קופות החולים הוסמכו על ידי השר כ"שירות רפואי" לעניין זה.</w:t>
      </w:r>
    </w:p>
    <w:p w:rsidR="006B7836" w:rsidRDefault="006B7836" w:rsidP="006B7836">
      <w:pPr>
        <w:numPr>
          <w:ilvl w:val="0"/>
          <w:numId w:val="1"/>
        </w:numPr>
        <w:spacing w:line="360" w:lineRule="auto"/>
        <w:ind w:left="283" w:hanging="425"/>
        <w:jc w:val="both"/>
        <w:rPr>
          <w:rFonts w:ascii="David" w:hAnsi="David"/>
          <w:sz w:val="28"/>
          <w:szCs w:val="28"/>
          <w:rtl/>
        </w:rPr>
      </w:pPr>
      <w:r>
        <w:rPr>
          <w:rFonts w:ascii="David" w:hAnsi="David"/>
          <w:sz w:val="28"/>
          <w:szCs w:val="28"/>
          <w:rtl/>
        </w:rPr>
        <w:t xml:space="preserve">מתן טיפול רפואי לנפגע עבודה הוסדר בתקנות הביטוח הלאומי (מתן טיפול רפואי לנפגעי עבודה), תשכ"ח – 1968 (להלן – </w:t>
      </w:r>
      <w:r>
        <w:rPr>
          <w:rFonts w:ascii="David" w:hAnsi="David"/>
          <w:b/>
          <w:bCs/>
          <w:sz w:val="28"/>
          <w:szCs w:val="28"/>
          <w:rtl/>
        </w:rPr>
        <w:t>תקנות טיפול רפואי</w:t>
      </w:r>
      <w:r>
        <w:rPr>
          <w:rFonts w:ascii="David" w:hAnsi="David"/>
          <w:sz w:val="28"/>
          <w:szCs w:val="28"/>
          <w:rtl/>
        </w:rPr>
        <w:t>). בתקנות אלה הוגדר ה"טיפול רפואי" שנפגע עבודה זכאי לו, כמפורט להלן:</w:t>
      </w:r>
    </w:p>
    <w:p w:rsidR="006B7836" w:rsidRDefault="006B7836" w:rsidP="006B7836">
      <w:pPr>
        <w:spacing w:after="120" w:line="360" w:lineRule="auto"/>
        <w:ind w:left="1134" w:right="1134"/>
        <w:contextualSpacing/>
        <w:jc w:val="both"/>
        <w:rPr>
          <w:rFonts w:ascii="David" w:hAnsi="David"/>
          <w:sz w:val="28"/>
          <w:szCs w:val="28"/>
        </w:rPr>
      </w:pPr>
    </w:p>
    <w:p w:rsidR="006B7836" w:rsidRDefault="006B7836" w:rsidP="006B7836">
      <w:pPr>
        <w:spacing w:after="120"/>
        <w:ind w:left="1134" w:right="1134"/>
        <w:contextualSpacing/>
        <w:jc w:val="both"/>
        <w:rPr>
          <w:rFonts w:ascii="David" w:hAnsi="David"/>
          <w:b/>
          <w:bCs/>
          <w:sz w:val="28"/>
          <w:szCs w:val="28"/>
          <w:rtl/>
        </w:rPr>
      </w:pPr>
      <w:r>
        <w:rPr>
          <w:rFonts w:ascii="David" w:hAnsi="David"/>
          <w:sz w:val="28"/>
          <w:szCs w:val="28"/>
          <w:rtl/>
        </w:rPr>
        <w:t>"</w:t>
      </w:r>
      <w:r>
        <w:rPr>
          <w:rFonts w:ascii="David" w:hAnsi="David"/>
          <w:b/>
          <w:bCs/>
          <w:sz w:val="28"/>
          <w:szCs w:val="28"/>
          <w:rtl/>
        </w:rPr>
        <w:t>'טיפול רפואי' - ריפוי, לרבות בדיקות מעבדה, ריפוי פיסיקלי, בדיקות וריפוי ברנטגן, ריפוי רדיום, כולל ריפוי באיזוטופים ובחמרים דומים, בדיקות רופאים מקצועיים, טיפול פסיכואנליטי ופסיכותרפויטי, אשפוז, תרופות, החלמה, שיקום רפואי, אספקת מכשירים אורתופדיים ותירפויטים כולל פרותזות מסוגים שונים, שיניים תותבות, מכשירי שמיעה, משקפיים, נעליים אורתופדיות ואבזרים אישיים אחרים שאושרו על ידי רופא השירות</w:t>
      </w:r>
      <w:r>
        <w:rPr>
          <w:rFonts w:ascii="David" w:hAnsi="David"/>
          <w:sz w:val="28"/>
          <w:szCs w:val="28"/>
          <w:rtl/>
        </w:rPr>
        <w:t>"</w:t>
      </w:r>
      <w:r>
        <w:rPr>
          <w:rFonts w:ascii="David" w:hAnsi="David"/>
          <w:b/>
          <w:bCs/>
          <w:sz w:val="28"/>
          <w:szCs w:val="28"/>
          <w:rtl/>
        </w:rPr>
        <w:t xml:space="preserve">.  </w:t>
      </w:r>
    </w:p>
    <w:p w:rsidR="006B7836" w:rsidRDefault="006B7836" w:rsidP="006B7836">
      <w:pPr>
        <w:spacing w:after="120"/>
        <w:ind w:left="1134" w:right="1134"/>
        <w:contextualSpacing/>
        <w:jc w:val="both"/>
        <w:rPr>
          <w:rFonts w:ascii="David" w:hAnsi="David"/>
          <w:b/>
          <w:bCs/>
          <w:sz w:val="28"/>
          <w:szCs w:val="28"/>
          <w:rtl/>
        </w:rPr>
      </w:pPr>
    </w:p>
    <w:p w:rsidR="006B7836" w:rsidRDefault="006B7836" w:rsidP="006B7836">
      <w:pPr>
        <w:spacing w:line="360" w:lineRule="auto"/>
        <w:ind w:left="283"/>
        <w:jc w:val="both"/>
        <w:rPr>
          <w:rFonts w:ascii="David" w:hAnsi="David"/>
          <w:sz w:val="28"/>
          <w:szCs w:val="28"/>
          <w:rtl/>
        </w:rPr>
      </w:pPr>
      <w:r>
        <w:rPr>
          <w:rFonts w:ascii="David" w:hAnsi="David"/>
          <w:sz w:val="28"/>
          <w:szCs w:val="28"/>
          <w:rtl/>
        </w:rPr>
        <w:t xml:space="preserve">כמו כן, יוסד בתקנות טיפול רפואי </w:t>
      </w:r>
      <w:r>
        <w:rPr>
          <w:rFonts w:ascii="David" w:hAnsi="David"/>
          <w:b/>
          <w:bCs/>
          <w:sz w:val="28"/>
          <w:szCs w:val="28"/>
          <w:rtl/>
        </w:rPr>
        <w:t>"המנגנון הרפואי"</w:t>
      </w:r>
      <w:r>
        <w:rPr>
          <w:rFonts w:ascii="David" w:hAnsi="David"/>
          <w:sz w:val="28"/>
          <w:szCs w:val="28"/>
          <w:rtl/>
        </w:rPr>
        <w:t xml:space="preserve"> כהגדרתו בעניין </w:t>
      </w:r>
      <w:r>
        <w:rPr>
          <w:rFonts w:ascii="David" w:hAnsi="David"/>
          <w:b/>
          <w:bCs/>
          <w:sz w:val="28"/>
          <w:szCs w:val="28"/>
          <w:rtl/>
        </w:rPr>
        <w:t>עורקבי</w:t>
      </w:r>
      <w:r>
        <w:rPr>
          <w:rFonts w:asciiTheme="minorHAnsi" w:hAnsiTheme="minorHAnsi" w:cs="Arial"/>
          <w:sz w:val="28"/>
          <w:szCs w:val="28"/>
          <w:rtl/>
          <w:lang w:eastAsia="he-IL"/>
        </w:rPr>
        <w:t xml:space="preserve"> </w:t>
      </w:r>
      <w:r>
        <w:rPr>
          <w:rFonts w:asciiTheme="minorHAnsi" w:hAnsiTheme="minorHAnsi"/>
          <w:sz w:val="28"/>
          <w:szCs w:val="28"/>
          <w:rtl/>
          <w:lang w:eastAsia="he-IL"/>
        </w:rPr>
        <w:t xml:space="preserve">לצורך קביעת "היקפו ודרכו" של הטיפול הרפואי לנפגע בכל מקרה ומקרה, לרבות בירור חילוקי דעות בין המוסד לבין קופת החולים או בין נפגע העבודה לבין המוסד וקופות החולים. </w:t>
      </w:r>
    </w:p>
    <w:p w:rsidR="006B7836" w:rsidRDefault="006B7836" w:rsidP="006B7836">
      <w:pPr>
        <w:spacing w:line="360" w:lineRule="auto"/>
        <w:ind w:left="283"/>
        <w:jc w:val="both"/>
        <w:rPr>
          <w:rFonts w:ascii="David" w:hAnsi="David"/>
          <w:sz w:val="28"/>
          <w:szCs w:val="28"/>
        </w:rPr>
      </w:pPr>
      <w:r>
        <w:rPr>
          <w:rFonts w:asciiTheme="minorHAnsi" w:hAnsiTheme="minorHAnsi"/>
          <w:sz w:val="28"/>
          <w:szCs w:val="28"/>
          <w:rtl/>
          <w:lang w:eastAsia="he-IL"/>
        </w:rPr>
        <w:t xml:space="preserve">ראו לעניין זה גם: עב"ל (ארצי) 17146-05-11 </w:t>
      </w:r>
      <w:r>
        <w:rPr>
          <w:rFonts w:asciiTheme="minorHAnsi" w:hAnsiTheme="minorHAnsi"/>
          <w:b/>
          <w:bCs/>
          <w:sz w:val="28"/>
          <w:szCs w:val="28"/>
          <w:rtl/>
          <w:lang w:eastAsia="he-IL"/>
        </w:rPr>
        <w:t xml:space="preserve">דימיטרי גפן – המוסד לביטוח לאומי </w:t>
      </w:r>
      <w:r>
        <w:rPr>
          <w:rFonts w:asciiTheme="minorHAnsi" w:hAnsiTheme="minorHAnsi"/>
          <w:sz w:val="28"/>
          <w:szCs w:val="28"/>
          <w:rtl/>
          <w:lang w:eastAsia="he-IL"/>
        </w:rPr>
        <w:t>(1.5.2013).</w:t>
      </w:r>
    </w:p>
    <w:p w:rsidR="006B7836" w:rsidRDefault="006B7836" w:rsidP="006B7836">
      <w:pPr>
        <w:numPr>
          <w:ilvl w:val="0"/>
          <w:numId w:val="1"/>
        </w:numPr>
        <w:spacing w:line="360" w:lineRule="auto"/>
        <w:ind w:left="283" w:hanging="425"/>
        <w:jc w:val="both"/>
        <w:rPr>
          <w:rFonts w:ascii="David" w:hAnsi="David"/>
          <w:sz w:val="28"/>
          <w:szCs w:val="28"/>
          <w:rtl/>
        </w:rPr>
      </w:pPr>
      <w:r>
        <w:rPr>
          <w:rFonts w:ascii="David" w:hAnsi="David"/>
          <w:sz w:val="28"/>
          <w:szCs w:val="28"/>
          <w:rtl/>
        </w:rPr>
        <w:t xml:space="preserve">כאמור, על פי סעיף 89(א)(3) לחוק מוסמך המוסד לביטוח לאומי ליתן את שירותי הריפוי, החלמה ושיקום מקצועי ורפואי באמצעות גוף שהשר הסמיכו כ"שירות רפואי" ובענייננו קופות החולים. בסעיף 91 לחוק נקבע כי </w:t>
      </w:r>
      <w:r>
        <w:rPr>
          <w:rFonts w:ascii="David" w:hAnsi="David"/>
          <w:b/>
          <w:bCs/>
          <w:sz w:val="28"/>
          <w:szCs w:val="28"/>
          <w:rtl/>
        </w:rPr>
        <w:t>"היחסים בין המוסד ובין מי שבאמצעותו ניתנות גמלאות בעין לפי סימן זה, והחובות והזכויות ההדדיות, ייקבעו בהסכם שאישר השר במידה שלא קבע אותם בתקנות"</w:t>
      </w:r>
      <w:r>
        <w:rPr>
          <w:rFonts w:ascii="David" w:hAnsi="David"/>
          <w:sz w:val="28"/>
          <w:szCs w:val="28"/>
          <w:rtl/>
        </w:rPr>
        <w:t>.</w:t>
      </w:r>
      <w:r>
        <w:rPr>
          <w:rFonts w:ascii="David" w:hAnsi="David"/>
          <w:b/>
          <w:bCs/>
          <w:sz w:val="28"/>
          <w:szCs w:val="28"/>
          <w:rtl/>
        </w:rPr>
        <w:t xml:space="preserve"> </w:t>
      </w:r>
      <w:r>
        <w:rPr>
          <w:rFonts w:ascii="David" w:hAnsi="David"/>
          <w:sz w:val="28"/>
          <w:szCs w:val="28"/>
          <w:rtl/>
        </w:rPr>
        <w:t xml:space="preserve">הסכמים כאמור בסעיף זה נחתמו מעת לעת בין המוסד ובין קופות החולים השונות בארץ. לענייננו, רלוונטיות הוראות ההסכם משנת 2003, שהוראותיו הרלוונטיות יפורטו בהמשך.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sz w:val="28"/>
          <w:szCs w:val="28"/>
          <w:rtl/>
        </w:rPr>
        <w:lastRenderedPageBreak/>
        <w:t>על מעמדם הנורמטיבי של ההסכמים דלעיל עמד בית דין זה בעניין</w:t>
      </w:r>
      <w:r>
        <w:rPr>
          <w:rFonts w:ascii="David" w:hAnsi="David"/>
          <w:b/>
          <w:bCs/>
          <w:sz w:val="28"/>
          <w:szCs w:val="28"/>
          <w:rtl/>
        </w:rPr>
        <w:t xml:space="preserve"> עורקבי</w:t>
      </w:r>
      <w:r>
        <w:rPr>
          <w:rFonts w:ascii="David" w:hAnsi="David"/>
          <w:sz w:val="28"/>
          <w:szCs w:val="28"/>
          <w:rtl/>
        </w:rPr>
        <w:t xml:space="preserve"> באמרו:</w:t>
      </w:r>
    </w:p>
    <w:p w:rsidR="006B7836" w:rsidRDefault="006B7836" w:rsidP="006B7836">
      <w:pPr>
        <w:spacing w:after="120"/>
        <w:ind w:left="1134" w:right="1134"/>
        <w:contextualSpacing/>
        <w:jc w:val="both"/>
        <w:rPr>
          <w:rFonts w:ascii="David" w:hAnsi="David"/>
          <w:sz w:val="28"/>
          <w:szCs w:val="28"/>
        </w:rPr>
      </w:pPr>
      <w:bookmarkStart w:id="1" w:name="OLE_LINK21"/>
      <w:bookmarkStart w:id="2" w:name="OLE_LINK24"/>
      <w:r>
        <w:rPr>
          <w:rFonts w:ascii="David" w:hAnsi="David"/>
          <w:sz w:val="28"/>
          <w:szCs w:val="28"/>
          <w:rtl/>
        </w:rPr>
        <w:t>"</w:t>
      </w:r>
      <w:r>
        <w:rPr>
          <w:rFonts w:ascii="David" w:hAnsi="David"/>
          <w:b/>
          <w:bCs/>
          <w:sz w:val="28"/>
          <w:szCs w:val="28"/>
          <w:rtl/>
        </w:rPr>
        <w:t xml:space="preserve">ההסכם שנחתם בין המוסד לביטוח לאומי לבין שירותי בריאות כללית </w:t>
      </w:r>
      <w:bookmarkEnd w:id="1"/>
      <w:bookmarkEnd w:id="2"/>
      <w:r>
        <w:rPr>
          <w:rFonts w:ascii="David" w:hAnsi="David"/>
          <w:b/>
          <w:bCs/>
          <w:sz w:val="28"/>
          <w:szCs w:val="28"/>
          <w:rtl/>
        </w:rPr>
        <w:t xml:space="preserve">הינו הסדר נורמטיבי המשלים את הוראות חוק הביטוח הלאומי בכל הנוגע לזכאות נפגע עבודה לגמלאות בעין מסוג טיפול רפואי, מכוח הוראת סעיף 91 לחוק הביטוח הלאומי. בהיותו הסדר נורמטיבי משלים מהווה ההסכם חלף חקיקת משנה לחיובי המוסד והקופה 'שאישר השר במידה שלא קבע אותם בתקנות'. ככזה </w:t>
      </w:r>
      <w:r>
        <w:rPr>
          <w:rFonts w:ascii="David" w:hAnsi="David"/>
          <w:b/>
          <w:bCs/>
          <w:sz w:val="28"/>
          <w:szCs w:val="28"/>
          <w:u w:val="single"/>
          <w:rtl/>
        </w:rPr>
        <w:t>מתקרב מעמדו של ההסכם לדבר חקיקה המהווה, על פי מהותו אופיו ותכליתו, חלק ממערך הגמלאות הסוציאלי, המושתת על ערכי היסוד של שיטתנו המשפטית</w:t>
      </w:r>
      <w:r>
        <w:rPr>
          <w:rFonts w:ascii="David" w:hAnsi="David"/>
          <w:b/>
          <w:bCs/>
          <w:sz w:val="28"/>
          <w:szCs w:val="28"/>
          <w:rtl/>
        </w:rPr>
        <w:t>.</w:t>
      </w:r>
      <w:r>
        <w:rPr>
          <w:rFonts w:ascii="David" w:hAnsi="David"/>
          <w:sz w:val="28"/>
          <w:szCs w:val="28"/>
          <w:rtl/>
        </w:rPr>
        <w:t>"</w:t>
      </w:r>
    </w:p>
    <w:p w:rsidR="006B7836" w:rsidRDefault="006B7836" w:rsidP="006B7836">
      <w:pPr>
        <w:spacing w:after="120" w:line="360" w:lineRule="auto"/>
        <w:ind w:left="1134" w:right="1134"/>
        <w:contextualSpacing/>
        <w:jc w:val="right"/>
        <w:rPr>
          <w:rFonts w:ascii="David" w:hAnsi="David"/>
          <w:sz w:val="28"/>
          <w:szCs w:val="28"/>
          <w:rtl/>
        </w:rPr>
      </w:pPr>
      <w:r>
        <w:rPr>
          <w:rFonts w:ascii="David" w:hAnsi="David"/>
          <w:sz w:val="28"/>
          <w:szCs w:val="28"/>
          <w:rtl/>
        </w:rPr>
        <w:t>[ההדגשה הוספה - ל.ג]</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sz w:val="28"/>
          <w:szCs w:val="28"/>
          <w:rtl/>
        </w:rPr>
        <w:t xml:space="preserve">למען שלמות התמונה נציין כי ביום 1.1.16, נכנסו לתוקף תיקונים לחוק הביטוח הלאומי ולחוק ביטוח בריאות, התשנ"ד-1994, שהעבירו את האחריות לטיפול בנפגעי העבודה – עד לגדרי סל הבריאות – לאחריותן הישירה של קופות החולים. זאת, במסגרת חוק ההתייעלות הכלכלית (תיקוני חקיקה להשגת יעדי התקציב לשנות התקציב 2015 ו- 2016), התשע"ו-2015, ס"ח 2511 מיום 30.11.15). בעקבות התיקון לחוק, נחתם ביום 16.5.2016 הסכם בין המוסד לבין הכללית בעניין מתן שירותים רפואיים לנפגעי עבודה על ידי הכללית. בסעיף 15 להסכם 2016 נקבע כי הקופה תשתתף בעלות העסקת מטפל לעזרה סיעודית רפואית בבית נפגע העבודה בגובה עד 1/3 מעלות העסקתו לפי עלות העסקה מירבית שלא תעלה על סך של </w:t>
      </w:r>
      <w:r>
        <w:rPr>
          <w:rFonts w:ascii="David" w:hAnsi="David"/>
          <w:sz w:val="28"/>
          <w:szCs w:val="28"/>
          <w:rtl/>
        </w:rPr>
        <w:br/>
        <w:t xml:space="preserve">6,900 ₪. כמובהר לעיל, בפסק דין זה נדון רק בזכויות המערערים לתקופה שעד יום 31.12.2015, וכל טענותיו של מר בגו לעניין התקופה מיום 1.1.2016 והסכם 2016 שמורות לו.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sz w:val="28"/>
          <w:szCs w:val="28"/>
          <w:rtl/>
        </w:rPr>
        <w:t xml:space="preserve">לצד זכותו של נפגע עבודה </w:t>
      </w:r>
      <w:r>
        <w:rPr>
          <w:rFonts w:ascii="David" w:hAnsi="David"/>
          <w:b/>
          <w:bCs/>
          <w:sz w:val="28"/>
          <w:szCs w:val="28"/>
          <w:rtl/>
        </w:rPr>
        <w:t>לגמלאות בעין,</w:t>
      </w:r>
      <w:r>
        <w:rPr>
          <w:rFonts w:ascii="David" w:hAnsi="David"/>
          <w:sz w:val="28"/>
          <w:szCs w:val="28"/>
          <w:rtl/>
        </w:rPr>
        <w:t xml:space="preserve"> הוא זכאי לקצבאות ומענקים כספיים, על פי סימן ה' לפרק ג' לחוק, שמסדיר תשלום קצבה או מענק נכות, הנגזרים מדרגת נכותו של נפגע עבודה. על פי </w:t>
      </w:r>
      <w:r>
        <w:rPr>
          <w:rFonts w:ascii="David" w:hAnsi="David"/>
          <w:b/>
          <w:bCs/>
          <w:sz w:val="28"/>
          <w:szCs w:val="28"/>
          <w:rtl/>
        </w:rPr>
        <w:t>סעיף 112 לחוק</w:t>
      </w:r>
      <w:r>
        <w:rPr>
          <w:rFonts w:ascii="David" w:hAnsi="David"/>
          <w:sz w:val="28"/>
          <w:szCs w:val="28"/>
          <w:rtl/>
        </w:rPr>
        <w:t xml:space="preserve">, נפגע עבודה עשוי להיות זכאי </w:t>
      </w:r>
      <w:r>
        <w:rPr>
          <w:rFonts w:ascii="David" w:hAnsi="David"/>
          <w:b/>
          <w:bCs/>
          <w:sz w:val="28"/>
          <w:szCs w:val="28"/>
          <w:rtl/>
        </w:rPr>
        <w:t>בנוסף</w:t>
      </w:r>
      <w:r>
        <w:rPr>
          <w:rFonts w:ascii="David" w:hAnsi="David"/>
          <w:sz w:val="28"/>
          <w:szCs w:val="28"/>
          <w:rtl/>
        </w:rPr>
        <w:t xml:space="preserve"> לקצבה או מענק נכות ל</w:t>
      </w:r>
      <w:r>
        <w:rPr>
          <w:rFonts w:ascii="David" w:hAnsi="David"/>
          <w:b/>
          <w:bCs/>
          <w:sz w:val="28"/>
          <w:szCs w:val="28"/>
          <w:rtl/>
        </w:rPr>
        <w:t>"גמלאות מיוחדות"</w:t>
      </w:r>
      <w:r>
        <w:rPr>
          <w:rFonts w:ascii="David" w:hAnsi="David"/>
          <w:sz w:val="28"/>
          <w:szCs w:val="28"/>
          <w:rtl/>
        </w:rPr>
        <w:t xml:space="preserve">, כמפורט להלן: </w:t>
      </w:r>
    </w:p>
    <w:p w:rsidR="006B7836" w:rsidRDefault="006B7836" w:rsidP="006B7836">
      <w:pPr>
        <w:spacing w:after="120"/>
        <w:ind w:left="1134" w:right="1134"/>
        <w:contextualSpacing/>
        <w:jc w:val="both"/>
        <w:rPr>
          <w:rFonts w:ascii="David" w:hAnsi="David"/>
          <w:b/>
          <w:bCs/>
          <w:sz w:val="28"/>
          <w:szCs w:val="28"/>
        </w:rPr>
      </w:pPr>
      <w:r>
        <w:rPr>
          <w:rFonts w:ascii="David" w:hAnsi="David"/>
          <w:sz w:val="28"/>
          <w:szCs w:val="28"/>
          <w:rtl/>
        </w:rPr>
        <w:t>"</w:t>
      </w:r>
      <w:r>
        <w:rPr>
          <w:rFonts w:ascii="David" w:hAnsi="David"/>
          <w:b/>
          <w:bCs/>
          <w:sz w:val="28"/>
          <w:szCs w:val="28"/>
          <w:rtl/>
        </w:rPr>
        <w:t xml:space="preserve">(א)  נכה עבודה שנקבעה לו דרגה יציבה בשיעור של 75% לפחות, זכאי, בנוסף לכל גמלה אחרת - </w:t>
      </w:r>
    </w:p>
    <w:p w:rsidR="006B7836" w:rsidRDefault="006B7836" w:rsidP="006B7836">
      <w:pPr>
        <w:spacing w:after="120"/>
        <w:ind w:left="1440" w:right="1134"/>
        <w:contextualSpacing/>
        <w:jc w:val="both"/>
        <w:rPr>
          <w:rFonts w:ascii="David" w:hAnsi="David"/>
          <w:b/>
          <w:bCs/>
          <w:sz w:val="28"/>
          <w:szCs w:val="28"/>
        </w:rPr>
      </w:pPr>
      <w:r>
        <w:rPr>
          <w:rFonts w:ascii="David" w:hAnsi="David"/>
          <w:b/>
          <w:bCs/>
          <w:sz w:val="28"/>
          <w:szCs w:val="28"/>
          <w:rtl/>
        </w:rPr>
        <w:t>(1)   לקצבה מיוחדת להחזקתו האישית או לשיקומו המקצועי עקב נכותו, בסכומים ולפי כללים שנקבעו, אולם לא יותר מרבע הקצבה המרבית המשתלמת לפי סעיף 105 על בסיס דמי הפגיעה המרביים האמורים בסעיף 97(א);</w:t>
      </w:r>
    </w:p>
    <w:p w:rsidR="006B7836" w:rsidRDefault="006B7836" w:rsidP="006B7836">
      <w:pPr>
        <w:spacing w:after="120"/>
        <w:ind w:left="1440" w:right="1134"/>
        <w:contextualSpacing/>
        <w:jc w:val="both"/>
        <w:rPr>
          <w:rFonts w:ascii="David" w:hAnsi="David"/>
          <w:b/>
          <w:bCs/>
          <w:sz w:val="28"/>
          <w:szCs w:val="28"/>
          <w:rtl/>
        </w:rPr>
      </w:pPr>
      <w:r>
        <w:rPr>
          <w:rFonts w:ascii="David" w:hAnsi="David"/>
          <w:b/>
          <w:bCs/>
          <w:sz w:val="28"/>
          <w:szCs w:val="28"/>
          <w:rtl/>
        </w:rPr>
        <w:t>(2)  למענק לסידורים חד-פעמיים הנובעים מנכותו, בתנאים ובסכומים שנקבעו.</w:t>
      </w:r>
    </w:p>
    <w:p w:rsidR="006B7836" w:rsidRDefault="006B7836" w:rsidP="006B7836">
      <w:pPr>
        <w:spacing w:after="120"/>
        <w:ind w:left="1134" w:right="1134"/>
        <w:contextualSpacing/>
        <w:jc w:val="both"/>
        <w:rPr>
          <w:rFonts w:ascii="David" w:hAnsi="David"/>
          <w:b/>
          <w:bCs/>
          <w:sz w:val="28"/>
          <w:szCs w:val="28"/>
          <w:rtl/>
        </w:rPr>
      </w:pPr>
      <w:r>
        <w:rPr>
          <w:rFonts w:ascii="David" w:hAnsi="David"/>
          <w:b/>
          <w:bCs/>
          <w:sz w:val="28"/>
          <w:szCs w:val="28"/>
          <w:rtl/>
        </w:rPr>
        <w:lastRenderedPageBreak/>
        <w:t>(ב)  נכה עבודה שנקבעה לו דרגת נכות של 75% לפחות והיא דרגה שאינה יציבה, יהיה זכאי לקצבה מיוחדת לפי סעיף קטן (א)(1), אם קבעו רופא או ועדה רפואית לפי סעיף 118, או הועדה הרפואית לעררים לפי סעיף 122, כי הם סבורים שהדרגה היציבה של נכה העבודה לא תפחת מ- 75%; קביעה לפי סעיף קטן זה, דינה, לענין סעיף 124, כדין קביעת דרגת נכות.</w:t>
      </w:r>
    </w:p>
    <w:p w:rsidR="006B7836" w:rsidRDefault="006B7836" w:rsidP="006B7836">
      <w:pPr>
        <w:spacing w:after="120"/>
        <w:ind w:left="1134" w:right="1134"/>
        <w:contextualSpacing/>
        <w:jc w:val="both"/>
        <w:rPr>
          <w:rFonts w:ascii="David" w:hAnsi="David"/>
          <w:sz w:val="28"/>
          <w:szCs w:val="28"/>
          <w:rtl/>
        </w:rPr>
      </w:pPr>
      <w:r>
        <w:rPr>
          <w:rFonts w:ascii="David" w:hAnsi="David"/>
          <w:b/>
          <w:bCs/>
          <w:sz w:val="28"/>
          <w:szCs w:val="28"/>
          <w:rtl/>
        </w:rPr>
        <w:t xml:space="preserve"> (ג)   השר רשאי, בהתאם לתנאים מיוחדים שקבע, להחיל את</w:t>
      </w:r>
      <w:r>
        <w:rPr>
          <w:rFonts w:ascii="David" w:hAnsi="David"/>
          <w:b/>
          <w:bCs/>
          <w:sz w:val="28"/>
          <w:szCs w:val="28"/>
          <w:rtl/>
        </w:rPr>
        <w:t> </w:t>
      </w:r>
      <w:r>
        <w:rPr>
          <w:rFonts w:ascii="David" w:hAnsi="David"/>
          <w:b/>
          <w:bCs/>
          <w:sz w:val="28"/>
          <w:szCs w:val="28"/>
          <w:rtl/>
        </w:rPr>
        <w:t xml:space="preserve"> הוראות סעיף קטן (א) לגבי נכה עבודה שדרגת נכותו פחותה מ- 75%, לענין תשלום קצבה מיוחדת או מענקים לסידורים חד- פעמיים, שניהם ביחד או כל אחד מהם בנפרד.</w:t>
      </w:r>
      <w:r>
        <w:rPr>
          <w:rFonts w:ascii="David" w:hAnsi="David"/>
          <w:sz w:val="28"/>
          <w:szCs w:val="28"/>
          <w:rtl/>
        </w:rPr>
        <w:t>"</w:t>
      </w:r>
    </w:p>
    <w:p w:rsidR="006B7836" w:rsidRDefault="006B7836" w:rsidP="006B7836">
      <w:pPr>
        <w:spacing w:after="120"/>
        <w:ind w:left="1134" w:right="1134"/>
        <w:contextualSpacing/>
        <w:jc w:val="both"/>
        <w:rPr>
          <w:rFonts w:ascii="David" w:hAnsi="David"/>
          <w:sz w:val="28"/>
          <w:szCs w:val="28"/>
          <w:rtl/>
        </w:rPr>
      </w:pPr>
    </w:p>
    <w:p w:rsidR="006B7836" w:rsidRDefault="006B7836" w:rsidP="006B7836">
      <w:pPr>
        <w:numPr>
          <w:ilvl w:val="0"/>
          <w:numId w:val="1"/>
        </w:numPr>
        <w:spacing w:line="360" w:lineRule="auto"/>
        <w:ind w:left="283" w:hanging="425"/>
        <w:jc w:val="both"/>
        <w:rPr>
          <w:rFonts w:ascii="David" w:hAnsi="David"/>
          <w:b/>
          <w:bCs/>
          <w:sz w:val="28"/>
          <w:szCs w:val="28"/>
          <w:rtl/>
        </w:rPr>
      </w:pPr>
      <w:r>
        <w:rPr>
          <w:rFonts w:ascii="David" w:hAnsi="David"/>
          <w:sz w:val="28"/>
          <w:szCs w:val="28"/>
          <w:rtl/>
        </w:rPr>
        <w:t xml:space="preserve">בכל הנוגע למימוש הזכאות לגמלאות מיוחדות הותקנו </w:t>
      </w:r>
      <w:r>
        <w:rPr>
          <w:rFonts w:ascii="David" w:hAnsi="David"/>
          <w:b/>
          <w:bCs/>
          <w:sz w:val="28"/>
          <w:szCs w:val="28"/>
          <w:rtl/>
        </w:rPr>
        <w:t>תקנות קצבה מיוחדת</w:t>
      </w:r>
      <w:r>
        <w:rPr>
          <w:rFonts w:ascii="David" w:hAnsi="David"/>
          <w:sz w:val="28"/>
          <w:szCs w:val="28"/>
          <w:rtl/>
        </w:rPr>
        <w:t xml:space="preserve"> - תקנות הביטוח הלאומי (מענק מיוחד וקצבה מיוחדת לנכים), תשכ"ה – 1965, שהוראותיהן הרלוונטיות יפורטו בהמשך.</w:t>
      </w:r>
    </w:p>
    <w:p w:rsidR="006B7836" w:rsidRDefault="006B7836" w:rsidP="006B7836">
      <w:pPr>
        <w:numPr>
          <w:ilvl w:val="0"/>
          <w:numId w:val="1"/>
        </w:numPr>
        <w:spacing w:line="360" w:lineRule="auto"/>
        <w:ind w:left="283" w:hanging="425"/>
        <w:jc w:val="both"/>
        <w:rPr>
          <w:rFonts w:ascii="David" w:hAnsi="David"/>
          <w:b/>
          <w:bCs/>
          <w:sz w:val="28"/>
          <w:szCs w:val="28"/>
        </w:rPr>
      </w:pPr>
      <w:r>
        <w:rPr>
          <w:rFonts w:ascii="David" w:hAnsi="David"/>
          <w:b/>
          <w:bCs/>
          <w:sz w:val="28"/>
          <w:szCs w:val="28"/>
          <w:rtl/>
        </w:rPr>
        <w:t xml:space="preserve">לסיכום – </w:t>
      </w:r>
      <w:r>
        <w:rPr>
          <w:rFonts w:ascii="David" w:hAnsi="David"/>
          <w:sz w:val="28"/>
          <w:szCs w:val="28"/>
          <w:rtl/>
        </w:rPr>
        <w:t xml:space="preserve">חוק הביטוח הלאומי מעניק לנפגע עבודה גמלאות בעין </w:t>
      </w:r>
      <w:r>
        <w:rPr>
          <w:rFonts w:ascii="David" w:hAnsi="David"/>
          <w:b/>
          <w:bCs/>
          <w:sz w:val="28"/>
          <w:szCs w:val="28"/>
          <w:rtl/>
        </w:rPr>
        <w:t xml:space="preserve">– </w:t>
      </w:r>
      <w:r>
        <w:rPr>
          <w:rFonts w:ascii="David" w:hAnsi="David"/>
          <w:sz w:val="28"/>
          <w:szCs w:val="28"/>
          <w:rtl/>
        </w:rPr>
        <w:t xml:space="preserve">ריפוי, החלמה, שיקום רפואי ושיקום מקצועי. שירותי הריפוי, החלמה ושיקום רפואי אינם ניתנים על ידי המוסד ישירות אלא באמצעות קופות החולים, על יסוד הסכמים בין הקופות  לבין המוסד מעת לעת, שהם הסדרים נורמטיביים המשלימים את הוראות החוק. בנוסף, מעניק חוק הביטוח הלאומי לנפגע עבודה קצבאות ומענקים אותם משלם המוסד, בהתאם להוראות החוק והתקנות, ובכלל זאת מענק מיוחד לסידורים חד פעמיים וקצבה מיוחדת להחזקה אישית. על יסוד הוראות אלה, יש להכריע בשאלות השנויות במחלוקת בין הצדדים. </w:t>
      </w:r>
    </w:p>
    <w:p w:rsidR="006B7836" w:rsidRDefault="006B7836" w:rsidP="006B7836">
      <w:pPr>
        <w:spacing w:after="120" w:line="360" w:lineRule="auto"/>
        <w:ind w:left="284"/>
        <w:contextualSpacing/>
        <w:jc w:val="both"/>
        <w:rPr>
          <w:rFonts w:ascii="David" w:hAnsi="David"/>
          <w:b/>
          <w:bCs/>
          <w:sz w:val="28"/>
          <w:szCs w:val="28"/>
        </w:rPr>
      </w:pPr>
    </w:p>
    <w:p w:rsidR="006B7836" w:rsidRDefault="006B7836" w:rsidP="006B7836">
      <w:pPr>
        <w:spacing w:after="120" w:line="360" w:lineRule="auto"/>
        <w:ind w:left="284"/>
        <w:contextualSpacing/>
        <w:jc w:val="both"/>
        <w:rPr>
          <w:rFonts w:ascii="David" w:hAnsi="David"/>
          <w:b/>
          <w:bCs/>
          <w:sz w:val="28"/>
          <w:szCs w:val="28"/>
          <w:rtl/>
        </w:rPr>
      </w:pPr>
      <w:r>
        <w:rPr>
          <w:rFonts w:ascii="David" w:hAnsi="David"/>
          <w:b/>
          <w:bCs/>
          <w:sz w:val="28"/>
          <w:szCs w:val="28"/>
          <w:rtl/>
        </w:rPr>
        <w:t>מהות ותכלית הקצבה המיוחדת:</w:t>
      </w:r>
    </w:p>
    <w:p w:rsidR="006B7836" w:rsidRDefault="006B7836" w:rsidP="006B7836">
      <w:pPr>
        <w:numPr>
          <w:ilvl w:val="0"/>
          <w:numId w:val="1"/>
        </w:numPr>
        <w:spacing w:line="360" w:lineRule="auto"/>
        <w:ind w:left="283" w:hanging="425"/>
        <w:jc w:val="both"/>
        <w:rPr>
          <w:rFonts w:ascii="David" w:hAnsi="David"/>
          <w:b/>
          <w:bCs/>
          <w:sz w:val="28"/>
          <w:szCs w:val="28"/>
        </w:rPr>
      </w:pPr>
      <w:r>
        <w:rPr>
          <w:rFonts w:ascii="David" w:hAnsi="David"/>
          <w:sz w:val="28"/>
          <w:szCs w:val="28"/>
          <w:rtl/>
        </w:rPr>
        <w:t>כאמור, על פי סעיף 112 לחוק, נכה עבודה שנקבעה לו דרגה יציבה בשיעור של 75% לפחות, זכאי, "</w:t>
      </w:r>
      <w:r>
        <w:rPr>
          <w:rFonts w:ascii="David" w:hAnsi="David"/>
          <w:b/>
          <w:bCs/>
          <w:sz w:val="28"/>
          <w:szCs w:val="28"/>
          <w:rtl/>
        </w:rPr>
        <w:t xml:space="preserve">בנוסף לכל גמלה אחרת", </w:t>
      </w:r>
      <w:r>
        <w:rPr>
          <w:rFonts w:ascii="David" w:hAnsi="David"/>
          <w:sz w:val="28"/>
          <w:szCs w:val="28"/>
          <w:rtl/>
        </w:rPr>
        <w:t>ל"</w:t>
      </w:r>
      <w:r>
        <w:rPr>
          <w:rFonts w:ascii="David" w:hAnsi="David"/>
          <w:b/>
          <w:bCs/>
          <w:sz w:val="28"/>
          <w:szCs w:val="28"/>
          <w:rtl/>
        </w:rPr>
        <w:t xml:space="preserve">קצבה מיוחדת להחזקתו האישית </w:t>
      </w:r>
      <w:r>
        <w:rPr>
          <w:rFonts w:ascii="David" w:hAnsi="David"/>
          <w:b/>
          <w:bCs/>
          <w:sz w:val="28"/>
          <w:szCs w:val="28"/>
          <w:u w:val="single"/>
          <w:rtl/>
        </w:rPr>
        <w:t>או</w:t>
      </w:r>
      <w:r>
        <w:rPr>
          <w:rFonts w:ascii="David" w:hAnsi="David"/>
          <w:b/>
          <w:bCs/>
          <w:sz w:val="28"/>
          <w:szCs w:val="28"/>
          <w:rtl/>
        </w:rPr>
        <w:t xml:space="preserve"> לשיקומו המקצועי עקב נכותו" </w:t>
      </w:r>
      <w:r>
        <w:rPr>
          <w:rFonts w:ascii="David" w:hAnsi="David"/>
          <w:sz w:val="28"/>
          <w:szCs w:val="28"/>
          <w:rtl/>
        </w:rPr>
        <w:t xml:space="preserve">וכן </w:t>
      </w:r>
      <w:r>
        <w:rPr>
          <w:rFonts w:ascii="David" w:hAnsi="David"/>
          <w:b/>
          <w:bCs/>
          <w:sz w:val="28"/>
          <w:szCs w:val="28"/>
          <w:rtl/>
        </w:rPr>
        <w:t xml:space="preserve">"למענק לסידורים חד פעמיים הנובעים מנכותו", </w:t>
      </w:r>
      <w:r>
        <w:rPr>
          <w:rFonts w:ascii="David" w:hAnsi="David"/>
          <w:sz w:val="28"/>
          <w:szCs w:val="28"/>
          <w:rtl/>
        </w:rPr>
        <w:t>וזאת בהתאם לכללים</w:t>
      </w:r>
      <w:r>
        <w:rPr>
          <w:rFonts w:ascii="David" w:hAnsi="David"/>
          <w:b/>
          <w:bCs/>
          <w:sz w:val="28"/>
          <w:szCs w:val="28"/>
          <w:rtl/>
        </w:rPr>
        <w:t xml:space="preserve"> </w:t>
      </w:r>
      <w:r>
        <w:rPr>
          <w:rFonts w:ascii="David" w:hAnsi="David"/>
          <w:sz w:val="28"/>
          <w:szCs w:val="28"/>
          <w:rtl/>
        </w:rPr>
        <w:t xml:space="preserve">שנקבעו בתקנות קצבה מיוחדת. </w:t>
      </w:r>
    </w:p>
    <w:p w:rsidR="006B7836" w:rsidRDefault="006B7836" w:rsidP="006B7836">
      <w:pPr>
        <w:numPr>
          <w:ilvl w:val="0"/>
          <w:numId w:val="1"/>
        </w:numPr>
        <w:spacing w:line="360" w:lineRule="auto"/>
        <w:ind w:left="283" w:hanging="425"/>
        <w:jc w:val="both"/>
        <w:rPr>
          <w:rFonts w:ascii="David" w:hAnsi="David"/>
          <w:b/>
          <w:bCs/>
          <w:sz w:val="28"/>
          <w:szCs w:val="28"/>
        </w:rPr>
      </w:pPr>
      <w:r>
        <w:rPr>
          <w:rFonts w:ascii="David" w:hAnsi="David"/>
          <w:sz w:val="28"/>
          <w:szCs w:val="28"/>
          <w:rtl/>
        </w:rPr>
        <w:t xml:space="preserve">על פי תקנה 2 לתקנות קצבה מיוחדת, נכה זכאי </w:t>
      </w:r>
      <w:r>
        <w:rPr>
          <w:rFonts w:ascii="David" w:hAnsi="David"/>
          <w:b/>
          <w:bCs/>
          <w:sz w:val="28"/>
          <w:szCs w:val="28"/>
          <w:rtl/>
        </w:rPr>
        <w:t>למענק מיוחד לסידורים חד פעמיים</w:t>
      </w:r>
      <w:r>
        <w:rPr>
          <w:rFonts w:ascii="David" w:hAnsi="David"/>
          <w:sz w:val="28"/>
          <w:szCs w:val="28"/>
          <w:rtl/>
        </w:rPr>
        <w:t xml:space="preserve">, וזאת לצורך סיוע בהתאמת תנאי המגורים, סיוע ברכישת אביזרי עזר וסיוע בפתרון בעיית הניידות על ידי רכישת רכב, על יסוד תכנית שתאושר על ידי המוסד. תקנה 10 לתקנות קצבה מיוחדת מסדירה את זכאותו של נכה עבודה </w:t>
      </w:r>
      <w:r>
        <w:rPr>
          <w:rFonts w:ascii="David" w:hAnsi="David"/>
          <w:b/>
          <w:bCs/>
          <w:sz w:val="28"/>
          <w:szCs w:val="28"/>
          <w:rtl/>
        </w:rPr>
        <w:t>לקצבה מיוחדת להחזקה אישית;</w:t>
      </w:r>
      <w:r>
        <w:rPr>
          <w:rFonts w:ascii="David" w:hAnsi="David"/>
          <w:sz w:val="28"/>
          <w:szCs w:val="28"/>
          <w:rtl/>
        </w:rPr>
        <w:t xml:space="preserve"> תקנות 10א עד 10ג מסדירות את זכאותו של נכה לתשלומים בעד </w:t>
      </w:r>
      <w:r>
        <w:rPr>
          <w:rFonts w:ascii="David" w:hAnsi="David"/>
          <w:b/>
          <w:bCs/>
          <w:sz w:val="28"/>
          <w:szCs w:val="28"/>
          <w:rtl/>
        </w:rPr>
        <w:t xml:space="preserve">החזקת רכב, </w:t>
      </w:r>
      <w:r>
        <w:rPr>
          <w:rFonts w:ascii="David" w:hAnsi="David"/>
          <w:sz w:val="28"/>
          <w:szCs w:val="28"/>
          <w:rtl/>
        </w:rPr>
        <w:t xml:space="preserve">בהתחשב בקצבת הניידות המשולמת לו על פי הסכם </w:t>
      </w:r>
      <w:r>
        <w:rPr>
          <w:rFonts w:ascii="David" w:hAnsi="David"/>
          <w:sz w:val="28"/>
          <w:szCs w:val="28"/>
          <w:rtl/>
        </w:rPr>
        <w:lastRenderedPageBreak/>
        <w:t xml:space="preserve">הניידות ושיעורה. תקנה 10ד מסדירה זכאות לקצבה מיוחדת </w:t>
      </w:r>
      <w:r>
        <w:rPr>
          <w:rFonts w:ascii="David" w:hAnsi="David"/>
          <w:b/>
          <w:bCs/>
          <w:sz w:val="28"/>
          <w:szCs w:val="28"/>
          <w:rtl/>
        </w:rPr>
        <w:t xml:space="preserve">לכיסוי הוצאות מיוחדות קבועות לצורך שיקומו המקצועי או הבטחת עיסוקו של נפגע עבודה. </w:t>
      </w:r>
    </w:p>
    <w:p w:rsidR="006B7836" w:rsidRDefault="006B7836" w:rsidP="006B7836">
      <w:pPr>
        <w:spacing w:after="120" w:line="360" w:lineRule="auto"/>
        <w:ind w:left="284"/>
        <w:contextualSpacing/>
        <w:jc w:val="both"/>
        <w:rPr>
          <w:rFonts w:ascii="David" w:hAnsi="David"/>
          <w:sz w:val="28"/>
          <w:szCs w:val="28"/>
        </w:rPr>
      </w:pPr>
      <w:r>
        <w:rPr>
          <w:rFonts w:ascii="David" w:hAnsi="David"/>
          <w:sz w:val="28"/>
          <w:szCs w:val="28"/>
          <w:rtl/>
        </w:rPr>
        <w:t>לענייננו רלוונטיות הוראות תקנות אלה:</w:t>
      </w:r>
    </w:p>
    <w:p w:rsidR="006B7836" w:rsidRDefault="006B7836" w:rsidP="006B7836">
      <w:pPr>
        <w:ind w:left="-142" w:right="-284" w:firstLine="431"/>
        <w:jc w:val="both"/>
        <w:rPr>
          <w:rFonts w:ascii="David" w:hAnsi="David"/>
          <w:b/>
          <w:bCs/>
          <w:sz w:val="28"/>
          <w:szCs w:val="28"/>
          <w:rtl/>
        </w:rPr>
      </w:pPr>
      <w:r>
        <w:rPr>
          <w:rFonts w:ascii="David" w:hAnsi="David"/>
          <w:b/>
          <w:bCs/>
          <w:sz w:val="28"/>
          <w:szCs w:val="28"/>
          <w:rtl/>
        </w:rPr>
        <w:t>תקנה 10 – קיצבה מיוחדת להחזקה אישית:</w:t>
      </w:r>
    </w:p>
    <w:p w:rsidR="006B7836" w:rsidRDefault="006B7836" w:rsidP="006B7836">
      <w:pPr>
        <w:spacing w:after="120"/>
        <w:ind w:left="1134" w:right="1134"/>
        <w:contextualSpacing/>
        <w:jc w:val="both"/>
        <w:rPr>
          <w:rFonts w:ascii="David" w:hAnsi="David"/>
          <w:b/>
          <w:bCs/>
          <w:sz w:val="28"/>
          <w:szCs w:val="28"/>
          <w:rtl/>
        </w:rPr>
      </w:pPr>
      <w:r>
        <w:rPr>
          <w:rFonts w:ascii="David" w:hAnsi="David"/>
          <w:sz w:val="28"/>
          <w:szCs w:val="28"/>
          <w:rtl/>
        </w:rPr>
        <w:t>"</w:t>
      </w:r>
      <w:r>
        <w:rPr>
          <w:rFonts w:ascii="David" w:hAnsi="David"/>
          <w:b/>
          <w:bCs/>
          <w:sz w:val="28"/>
          <w:szCs w:val="28"/>
          <w:rtl/>
        </w:rPr>
        <w:t>(א) נכה, שעקב נכותו זקוק לעזרה בביצוע פעולות יום יום, זכאי לקיצבה מיוחדת בסכום השווה ל-20% מהקיצבה המיוחדת המקסימלית.</w:t>
      </w:r>
    </w:p>
    <w:p w:rsidR="006B7836" w:rsidRDefault="006B7836" w:rsidP="006B7836">
      <w:pPr>
        <w:spacing w:after="120"/>
        <w:ind w:left="1134" w:right="1134"/>
        <w:contextualSpacing/>
        <w:jc w:val="both"/>
        <w:rPr>
          <w:rFonts w:ascii="David" w:hAnsi="David"/>
          <w:b/>
          <w:bCs/>
          <w:sz w:val="28"/>
          <w:szCs w:val="28"/>
          <w:rtl/>
        </w:rPr>
      </w:pPr>
      <w:r>
        <w:rPr>
          <w:rFonts w:ascii="David" w:hAnsi="David"/>
          <w:b/>
          <w:bCs/>
          <w:sz w:val="28"/>
          <w:szCs w:val="28"/>
          <w:rtl/>
        </w:rPr>
        <w:t xml:space="preserve"> (ב) נכה, שעקב נכותו תלוי בעזרה רבה מהזולת בביצוע רוב פעולות היום יום, או זקוק להשגחה או להסעות שלא בתחבורה ציבורית במידה רבה, זכאי לקיצבה מיוחדת בסכום השווה </w:t>
      </w:r>
      <w:r>
        <w:rPr>
          <w:rFonts w:ascii="David" w:hAnsi="David"/>
          <w:b/>
          <w:bCs/>
          <w:sz w:val="28"/>
          <w:szCs w:val="28"/>
          <w:rtl/>
        </w:rPr>
        <w:br/>
        <w:t xml:space="preserve">ל-40% מהקיצבה המיוחדת המקסימלית. </w:t>
      </w:r>
    </w:p>
    <w:p w:rsidR="006B7836" w:rsidRDefault="006B7836" w:rsidP="006B7836">
      <w:pPr>
        <w:spacing w:after="120"/>
        <w:ind w:left="1134" w:right="1134"/>
        <w:contextualSpacing/>
        <w:jc w:val="both"/>
        <w:rPr>
          <w:rFonts w:ascii="David" w:hAnsi="David"/>
          <w:b/>
          <w:bCs/>
          <w:sz w:val="28"/>
          <w:szCs w:val="28"/>
          <w:rtl/>
        </w:rPr>
      </w:pPr>
      <w:r>
        <w:rPr>
          <w:rFonts w:ascii="David" w:hAnsi="David"/>
          <w:b/>
          <w:bCs/>
          <w:sz w:val="28"/>
          <w:szCs w:val="28"/>
          <w:rtl/>
        </w:rPr>
        <w:t xml:space="preserve"> (ג) נכה, שעקב נכותו תלוי בעזרה רבה מהזולת בביצוע כל פעולות היום יום או הזקוק להשגחה מתמדת או הזקוק בקביעות להסעות שלא בתחבורה ציבורית, זכאי לקיצבה מיוחדת בסכום השווה ל-60% מהקיצבה המיוחדת המקסימלית. </w:t>
      </w:r>
    </w:p>
    <w:p w:rsidR="006B7836" w:rsidRDefault="006B7836" w:rsidP="006B7836">
      <w:pPr>
        <w:spacing w:after="120"/>
        <w:ind w:left="1134" w:right="1134"/>
        <w:contextualSpacing/>
        <w:jc w:val="both"/>
        <w:rPr>
          <w:rFonts w:ascii="David" w:hAnsi="David"/>
          <w:b/>
          <w:bCs/>
          <w:sz w:val="28"/>
          <w:szCs w:val="28"/>
          <w:rtl/>
        </w:rPr>
      </w:pPr>
      <w:r>
        <w:rPr>
          <w:rFonts w:ascii="David" w:hAnsi="David"/>
          <w:b/>
          <w:bCs/>
          <w:sz w:val="28"/>
          <w:szCs w:val="28"/>
          <w:rtl/>
        </w:rPr>
        <w:t xml:space="preserve"> (ד) נכה שעקב נכותו תלוי לחלוטין בעזרת הזולת בביצוע כל פעולות היום יום זכאי לקיצבה מיוחדת בסכום השווה לקיצבה המיוחדת המקסימלית. </w:t>
      </w:r>
    </w:p>
    <w:p w:rsidR="006B7836" w:rsidRDefault="006B7836" w:rsidP="006B7836">
      <w:pPr>
        <w:spacing w:after="120"/>
        <w:ind w:left="1134" w:right="1134"/>
        <w:contextualSpacing/>
        <w:jc w:val="both"/>
        <w:rPr>
          <w:rFonts w:ascii="David" w:hAnsi="David"/>
          <w:b/>
          <w:bCs/>
          <w:sz w:val="28"/>
          <w:szCs w:val="28"/>
          <w:rtl/>
        </w:rPr>
      </w:pPr>
      <w:r>
        <w:rPr>
          <w:rFonts w:ascii="David" w:hAnsi="David"/>
          <w:b/>
          <w:bCs/>
          <w:sz w:val="28"/>
          <w:szCs w:val="28"/>
          <w:rtl/>
        </w:rPr>
        <w:t xml:space="preserve"> (ה) היזקקות להסעה מיוחדת לא תובא בחשבון לגבי נכה המקבל קיצבה להחזקת רכב.</w:t>
      </w:r>
    </w:p>
    <w:p w:rsidR="006B7836" w:rsidRDefault="006B7836" w:rsidP="006B7836">
      <w:pPr>
        <w:spacing w:after="120"/>
        <w:ind w:left="1134" w:right="1134"/>
        <w:contextualSpacing/>
        <w:jc w:val="both"/>
        <w:rPr>
          <w:rFonts w:ascii="David" w:hAnsi="David"/>
          <w:b/>
          <w:bCs/>
          <w:sz w:val="28"/>
          <w:szCs w:val="28"/>
          <w:rtl/>
        </w:rPr>
      </w:pPr>
      <w:r>
        <w:rPr>
          <w:rFonts w:ascii="David" w:hAnsi="David"/>
          <w:b/>
          <w:bCs/>
          <w:sz w:val="28"/>
          <w:szCs w:val="28"/>
          <w:rtl/>
        </w:rPr>
        <w:t xml:space="preserve"> (ו) לענין תקנה זו ותקנות 10א, 10ב, 10ג, 10ד ו-10ה –</w:t>
      </w:r>
    </w:p>
    <w:p w:rsidR="006B7836" w:rsidRDefault="006B7836" w:rsidP="006B7836">
      <w:pPr>
        <w:spacing w:after="120"/>
        <w:ind w:left="1134" w:right="1134"/>
        <w:contextualSpacing/>
        <w:jc w:val="both"/>
        <w:rPr>
          <w:rFonts w:ascii="David" w:hAnsi="David"/>
          <w:b/>
          <w:bCs/>
          <w:sz w:val="28"/>
          <w:szCs w:val="28"/>
          <w:rtl/>
        </w:rPr>
      </w:pPr>
      <w:r>
        <w:rPr>
          <w:rFonts w:ascii="David" w:hAnsi="David"/>
          <w:b/>
          <w:bCs/>
          <w:sz w:val="28"/>
          <w:szCs w:val="28"/>
          <w:rtl/>
        </w:rPr>
        <w:t>(1)</w:t>
      </w:r>
      <w:r>
        <w:rPr>
          <w:rFonts w:ascii="David" w:hAnsi="David"/>
          <w:b/>
          <w:bCs/>
          <w:sz w:val="28"/>
          <w:szCs w:val="28"/>
          <w:rtl/>
        </w:rPr>
        <w:tab/>
        <w:t>"נכה" – נכה עבודה שהוראות סעיף 69(א) לחוק חלות עליו;</w:t>
      </w:r>
    </w:p>
    <w:p w:rsidR="006B7836" w:rsidRDefault="006B7836" w:rsidP="006B7836">
      <w:pPr>
        <w:spacing w:after="120"/>
        <w:ind w:left="1134" w:right="1134"/>
        <w:contextualSpacing/>
        <w:jc w:val="both"/>
        <w:rPr>
          <w:rFonts w:ascii="David" w:hAnsi="David"/>
          <w:b/>
          <w:bCs/>
          <w:sz w:val="28"/>
          <w:szCs w:val="28"/>
          <w:rtl/>
        </w:rPr>
      </w:pPr>
      <w:r>
        <w:rPr>
          <w:rFonts w:ascii="David" w:hAnsi="David"/>
          <w:b/>
          <w:bCs/>
          <w:sz w:val="28"/>
          <w:szCs w:val="28"/>
          <w:rtl/>
        </w:rPr>
        <w:t>(2)</w:t>
      </w:r>
      <w:r>
        <w:rPr>
          <w:rFonts w:ascii="David" w:hAnsi="David"/>
          <w:b/>
          <w:bCs/>
          <w:sz w:val="28"/>
          <w:szCs w:val="28"/>
          <w:rtl/>
        </w:rPr>
        <w:tab/>
        <w:t>"פעולות יום יום" – לבישה, אכילה, שליטה בהפרשות, רחצה, ניידות עצמית בבית והקשור בהן;</w:t>
      </w:r>
    </w:p>
    <w:p w:rsidR="006B7836" w:rsidRDefault="006B7836" w:rsidP="006B7836">
      <w:pPr>
        <w:spacing w:after="120"/>
        <w:ind w:left="1134" w:right="1134"/>
        <w:contextualSpacing/>
        <w:jc w:val="both"/>
        <w:rPr>
          <w:rFonts w:ascii="David" w:hAnsi="David"/>
          <w:b/>
          <w:bCs/>
          <w:sz w:val="28"/>
          <w:szCs w:val="28"/>
          <w:rtl/>
        </w:rPr>
      </w:pPr>
      <w:r>
        <w:rPr>
          <w:rFonts w:ascii="David" w:hAnsi="David"/>
          <w:b/>
          <w:bCs/>
          <w:sz w:val="28"/>
          <w:szCs w:val="28"/>
          <w:rtl/>
        </w:rPr>
        <w:t>(3)</w:t>
      </w:r>
      <w:r>
        <w:rPr>
          <w:rFonts w:ascii="David" w:hAnsi="David"/>
          <w:b/>
          <w:bCs/>
          <w:sz w:val="28"/>
          <w:szCs w:val="28"/>
          <w:rtl/>
        </w:rPr>
        <w:tab/>
        <w:t>"השגחה" – השגחה ופיקוח על הנכה למניעת נזק או סכנה לעצמו או לאחרים;</w:t>
      </w:r>
    </w:p>
    <w:p w:rsidR="006B7836" w:rsidRDefault="006B7836" w:rsidP="006B7836">
      <w:pPr>
        <w:spacing w:after="120"/>
        <w:ind w:left="1134" w:right="1134"/>
        <w:contextualSpacing/>
        <w:jc w:val="both"/>
        <w:rPr>
          <w:rFonts w:ascii="David" w:hAnsi="David"/>
          <w:sz w:val="28"/>
          <w:szCs w:val="28"/>
          <w:rtl/>
        </w:rPr>
      </w:pPr>
      <w:r>
        <w:rPr>
          <w:rFonts w:ascii="David" w:hAnsi="David"/>
          <w:b/>
          <w:bCs/>
          <w:sz w:val="28"/>
          <w:szCs w:val="28"/>
          <w:rtl/>
        </w:rPr>
        <w:t>(4)</w:t>
      </w:r>
      <w:r>
        <w:rPr>
          <w:rFonts w:ascii="David" w:hAnsi="David"/>
          <w:b/>
          <w:bCs/>
          <w:sz w:val="28"/>
          <w:szCs w:val="28"/>
          <w:rtl/>
        </w:rPr>
        <w:tab/>
        <w:t>"קיצבה מיוחדת מקסימלית" – כמשמעותה בסעיף 69(א) לחוק.</w:t>
      </w:r>
      <w:r>
        <w:rPr>
          <w:rFonts w:ascii="David" w:hAnsi="David"/>
          <w:sz w:val="28"/>
          <w:szCs w:val="28"/>
          <w:rtl/>
        </w:rPr>
        <w:t>"</w:t>
      </w:r>
    </w:p>
    <w:p w:rsidR="006B7836" w:rsidRDefault="006B7836" w:rsidP="006B7836">
      <w:pPr>
        <w:ind w:left="-142" w:right="-284" w:firstLine="431"/>
        <w:jc w:val="both"/>
        <w:rPr>
          <w:rFonts w:ascii="David" w:hAnsi="David"/>
          <w:b/>
          <w:bCs/>
          <w:sz w:val="28"/>
          <w:szCs w:val="28"/>
          <w:rtl/>
        </w:rPr>
      </w:pPr>
    </w:p>
    <w:p w:rsidR="006B7836" w:rsidRDefault="006B7836" w:rsidP="006B7836">
      <w:pPr>
        <w:ind w:left="-142" w:right="-284" w:firstLine="431"/>
        <w:jc w:val="both"/>
        <w:rPr>
          <w:rFonts w:ascii="David" w:hAnsi="David"/>
          <w:b/>
          <w:bCs/>
          <w:sz w:val="28"/>
          <w:szCs w:val="28"/>
          <w:rtl/>
        </w:rPr>
      </w:pPr>
      <w:r>
        <w:rPr>
          <w:rFonts w:ascii="David" w:hAnsi="David"/>
          <w:b/>
          <w:bCs/>
          <w:sz w:val="28"/>
          <w:szCs w:val="28"/>
          <w:rtl/>
        </w:rPr>
        <w:t xml:space="preserve">תקנה 10א -  תשלום להחזקת רכב </w:t>
      </w:r>
    </w:p>
    <w:p w:rsidR="006B7836" w:rsidRDefault="006B7836" w:rsidP="006B7836">
      <w:pPr>
        <w:ind w:left="-142" w:right="-284" w:firstLine="431"/>
        <w:jc w:val="both"/>
        <w:rPr>
          <w:rFonts w:ascii="David" w:hAnsi="David"/>
          <w:b/>
          <w:bCs/>
          <w:sz w:val="28"/>
          <w:szCs w:val="28"/>
          <w:rtl/>
        </w:rPr>
      </w:pPr>
    </w:p>
    <w:p w:rsidR="006B7836" w:rsidRDefault="006B7836" w:rsidP="006B7836">
      <w:pPr>
        <w:numPr>
          <w:ilvl w:val="0"/>
          <w:numId w:val="2"/>
        </w:numPr>
        <w:spacing w:after="120"/>
        <w:ind w:right="1134"/>
        <w:contextualSpacing/>
        <w:jc w:val="both"/>
        <w:rPr>
          <w:rFonts w:ascii="David" w:hAnsi="David"/>
          <w:b/>
          <w:bCs/>
          <w:sz w:val="28"/>
          <w:szCs w:val="28"/>
          <w:rtl/>
        </w:rPr>
      </w:pPr>
      <w:r>
        <w:rPr>
          <w:rFonts w:ascii="David" w:hAnsi="David"/>
          <w:b/>
          <w:bCs/>
          <w:sz w:val="28"/>
          <w:szCs w:val="28"/>
          <w:rtl/>
        </w:rPr>
        <w:t xml:space="preserve">נכה המקבל קיצבת ניידות כמשמעותה בהסכם הניידות בסכום הנמוך מסכום הקיצבה להחזקת רכב הנקוב בתוספת בצד אחוזי הנכות שנקבעו לו, יהיה זכאי לקיצבה חודשית מיוחדת להחזקת רכב בסכום השווה להפרש שבין סכום הקיצבה להחזקת רכב הנקוב בתוספת לבין סכום קיצבת הניידות; </w:t>
      </w:r>
    </w:p>
    <w:p w:rsidR="006B7836" w:rsidRDefault="006B7836" w:rsidP="006B7836">
      <w:pPr>
        <w:numPr>
          <w:ilvl w:val="0"/>
          <w:numId w:val="2"/>
        </w:numPr>
        <w:spacing w:after="120"/>
        <w:ind w:right="1134"/>
        <w:contextualSpacing/>
        <w:jc w:val="both"/>
        <w:rPr>
          <w:rFonts w:ascii="David" w:hAnsi="David"/>
          <w:b/>
          <w:bCs/>
          <w:sz w:val="28"/>
          <w:szCs w:val="28"/>
        </w:rPr>
      </w:pPr>
      <w:r>
        <w:rPr>
          <w:rFonts w:ascii="David" w:hAnsi="David"/>
          <w:b/>
          <w:bCs/>
          <w:sz w:val="28"/>
          <w:szCs w:val="28"/>
          <w:rtl/>
        </w:rPr>
        <w:t>...</w:t>
      </w:r>
    </w:p>
    <w:p w:rsidR="006B7836" w:rsidRDefault="006B7836" w:rsidP="006B7836">
      <w:pPr>
        <w:numPr>
          <w:ilvl w:val="0"/>
          <w:numId w:val="2"/>
        </w:numPr>
        <w:spacing w:after="120"/>
        <w:ind w:right="1134"/>
        <w:contextualSpacing/>
        <w:jc w:val="both"/>
        <w:rPr>
          <w:rFonts w:ascii="David" w:hAnsi="David"/>
          <w:b/>
          <w:bCs/>
          <w:sz w:val="28"/>
          <w:szCs w:val="28"/>
        </w:rPr>
      </w:pPr>
      <w:r>
        <w:rPr>
          <w:rFonts w:ascii="David" w:hAnsi="David"/>
          <w:b/>
          <w:bCs/>
          <w:sz w:val="28"/>
          <w:szCs w:val="28"/>
          <w:rtl/>
        </w:rPr>
        <w:t>...</w:t>
      </w:r>
    </w:p>
    <w:p w:rsidR="006B7836" w:rsidRDefault="006B7836" w:rsidP="006B7836">
      <w:pPr>
        <w:ind w:left="-142" w:right="-284" w:firstLine="431"/>
        <w:jc w:val="both"/>
        <w:rPr>
          <w:rFonts w:ascii="David" w:hAnsi="David"/>
          <w:b/>
          <w:bCs/>
          <w:sz w:val="28"/>
          <w:szCs w:val="28"/>
          <w:rtl/>
        </w:rPr>
      </w:pPr>
      <w:r>
        <w:rPr>
          <w:rFonts w:ascii="David" w:hAnsi="David"/>
          <w:b/>
          <w:bCs/>
          <w:sz w:val="28"/>
          <w:szCs w:val="28"/>
          <w:rtl/>
        </w:rPr>
        <w:t>תקנה 10ב – שמירת הסדרים קודמים</w:t>
      </w:r>
    </w:p>
    <w:p w:rsidR="006B7836" w:rsidRDefault="006B7836" w:rsidP="006B7836">
      <w:pPr>
        <w:ind w:left="-142" w:right="-284" w:firstLine="431"/>
        <w:jc w:val="both"/>
        <w:rPr>
          <w:rFonts w:ascii="David" w:hAnsi="David"/>
          <w:b/>
          <w:bCs/>
          <w:sz w:val="28"/>
          <w:szCs w:val="28"/>
          <w:rtl/>
        </w:rPr>
      </w:pPr>
      <w:r>
        <w:rPr>
          <w:rFonts w:ascii="David" w:hAnsi="David"/>
          <w:b/>
          <w:bCs/>
          <w:sz w:val="28"/>
          <w:szCs w:val="28"/>
          <w:rtl/>
        </w:rPr>
        <w:tab/>
      </w:r>
      <w:r>
        <w:rPr>
          <w:rFonts w:ascii="David" w:hAnsi="David"/>
          <w:b/>
          <w:bCs/>
          <w:sz w:val="28"/>
          <w:szCs w:val="28"/>
          <w:rtl/>
        </w:rPr>
        <w:tab/>
      </w:r>
    </w:p>
    <w:p w:rsidR="006B7836" w:rsidRDefault="006B7836" w:rsidP="006B7836">
      <w:pPr>
        <w:spacing w:after="120"/>
        <w:ind w:left="1134" w:right="1134"/>
        <w:contextualSpacing/>
        <w:jc w:val="both"/>
        <w:rPr>
          <w:rFonts w:ascii="David" w:hAnsi="David"/>
          <w:b/>
          <w:bCs/>
          <w:sz w:val="28"/>
          <w:szCs w:val="28"/>
          <w:rtl/>
        </w:rPr>
      </w:pPr>
      <w:r>
        <w:rPr>
          <w:rFonts w:ascii="David" w:hAnsi="David"/>
          <w:b/>
          <w:bCs/>
          <w:sz w:val="28"/>
          <w:szCs w:val="28"/>
          <w:rtl/>
        </w:rPr>
        <w:lastRenderedPageBreak/>
        <w:t>נכה שאינו מקבל קצבת ניידות לפי הסכם הניידות, אך מקבל קיצבה מיוחדת להחזקת רכב שאושרה לו לפי הסדרים קודמים, יימשך תשלום הקיצבה בהתאם לתוספת כל עוד ברשותו או בבעלותו רכב.</w:t>
      </w:r>
    </w:p>
    <w:p w:rsidR="006B7836" w:rsidRDefault="006B7836" w:rsidP="006B7836">
      <w:pPr>
        <w:spacing w:after="120"/>
        <w:ind w:left="1134" w:right="1134"/>
        <w:contextualSpacing/>
        <w:jc w:val="both"/>
        <w:rPr>
          <w:rFonts w:ascii="David" w:hAnsi="David"/>
          <w:b/>
          <w:bCs/>
          <w:sz w:val="28"/>
          <w:szCs w:val="28"/>
          <w:rtl/>
        </w:rPr>
      </w:pPr>
    </w:p>
    <w:p w:rsidR="006B7836" w:rsidRDefault="006B7836" w:rsidP="006B7836">
      <w:pPr>
        <w:ind w:left="-142" w:right="-284" w:firstLine="431"/>
        <w:jc w:val="both"/>
        <w:rPr>
          <w:rFonts w:ascii="David" w:hAnsi="David"/>
          <w:b/>
          <w:bCs/>
          <w:sz w:val="28"/>
          <w:szCs w:val="28"/>
          <w:rtl/>
        </w:rPr>
      </w:pPr>
      <w:r>
        <w:rPr>
          <w:rFonts w:ascii="David" w:hAnsi="David"/>
          <w:b/>
          <w:bCs/>
          <w:sz w:val="28"/>
          <w:szCs w:val="28"/>
          <w:rtl/>
        </w:rPr>
        <w:t>תקנה 10ג - הגדלת הקיצבה להחזקה אישית:</w:t>
      </w:r>
    </w:p>
    <w:p w:rsidR="006B7836" w:rsidRDefault="006B7836" w:rsidP="006B7836">
      <w:pPr>
        <w:spacing w:after="120"/>
        <w:ind w:left="1134" w:right="1134"/>
        <w:contextualSpacing/>
        <w:jc w:val="both"/>
        <w:rPr>
          <w:rFonts w:ascii="David" w:hAnsi="David"/>
          <w:b/>
          <w:bCs/>
          <w:sz w:val="28"/>
          <w:szCs w:val="28"/>
          <w:rtl/>
        </w:rPr>
      </w:pPr>
      <w:r>
        <w:rPr>
          <w:rFonts w:ascii="David" w:hAnsi="David"/>
          <w:b/>
          <w:bCs/>
          <w:sz w:val="28"/>
          <w:szCs w:val="28"/>
          <w:rtl/>
        </w:rPr>
        <w:t>נכה שאינו מקבל קיצבת ניידות לפי הסכם הניידות או קיצבה מיוחדת להחזקת רכב לפי תקנה 10ב, תוגדל לו הקיצבה המיוחדת להחזקה אישית שנקבעה בתקנות 10(א), (ב) ו- (ג), לפי העניין, ב- 10% מהקיצבה המיוחדת המקסימלית.</w:t>
      </w:r>
    </w:p>
    <w:p w:rsidR="006B7836" w:rsidRDefault="006B7836" w:rsidP="006B7836">
      <w:pPr>
        <w:ind w:left="-142" w:right="-284" w:firstLine="431"/>
        <w:jc w:val="both"/>
        <w:rPr>
          <w:rFonts w:ascii="David" w:hAnsi="David"/>
          <w:b/>
          <w:bCs/>
          <w:sz w:val="28"/>
          <w:szCs w:val="28"/>
          <w:rtl/>
        </w:rPr>
      </w:pPr>
      <w:r>
        <w:rPr>
          <w:rFonts w:ascii="David" w:hAnsi="David"/>
          <w:b/>
          <w:bCs/>
          <w:sz w:val="28"/>
          <w:szCs w:val="28"/>
          <w:rtl/>
        </w:rPr>
        <w:t xml:space="preserve">תקנה 10ד – קיצבה מיוחדת לשיקום מקצועי או לצרכי עיסוק </w:t>
      </w:r>
    </w:p>
    <w:p w:rsidR="006B7836" w:rsidRDefault="006B7836" w:rsidP="006B7836">
      <w:pPr>
        <w:spacing w:after="120"/>
        <w:ind w:left="1134" w:right="1134"/>
        <w:contextualSpacing/>
        <w:jc w:val="both"/>
        <w:rPr>
          <w:rFonts w:ascii="David" w:hAnsi="David"/>
          <w:b/>
          <w:bCs/>
          <w:sz w:val="28"/>
          <w:szCs w:val="28"/>
          <w:rtl/>
        </w:rPr>
      </w:pPr>
      <w:r>
        <w:rPr>
          <w:rFonts w:ascii="David" w:hAnsi="David"/>
          <w:b/>
          <w:bCs/>
          <w:sz w:val="28"/>
          <w:szCs w:val="28"/>
          <w:rtl/>
        </w:rPr>
        <w:t xml:space="preserve">קבע פקיד השיקום כי לצורך שיקומו המקצועי או הבטחת עיסוקו של הנכה יש צורך בכיסוי הוצאות מיוחדות קבועות עקב נכותו של הנכה, תשולם לנכה קיצבה מיוחדת לכיסוי הוצאות אלה. </w:t>
      </w:r>
    </w:p>
    <w:p w:rsidR="006B7836" w:rsidRDefault="006B7836" w:rsidP="006B7836">
      <w:pPr>
        <w:ind w:left="-142" w:right="-284" w:firstLine="431"/>
        <w:jc w:val="both"/>
        <w:rPr>
          <w:rFonts w:ascii="David" w:hAnsi="David"/>
          <w:b/>
          <w:bCs/>
          <w:sz w:val="28"/>
          <w:szCs w:val="28"/>
          <w:rtl/>
        </w:rPr>
      </w:pPr>
      <w:r>
        <w:rPr>
          <w:rFonts w:ascii="David" w:hAnsi="David"/>
          <w:b/>
          <w:bCs/>
          <w:sz w:val="28"/>
          <w:szCs w:val="28"/>
          <w:rtl/>
        </w:rPr>
        <w:t xml:space="preserve">תקנה 10ה – הגבלה במכסימום: </w:t>
      </w:r>
    </w:p>
    <w:p w:rsidR="006B7836" w:rsidRDefault="006B7836" w:rsidP="006B7836">
      <w:pPr>
        <w:spacing w:after="120"/>
        <w:ind w:left="1134" w:right="1134"/>
        <w:contextualSpacing/>
        <w:jc w:val="both"/>
        <w:rPr>
          <w:rFonts w:ascii="David" w:hAnsi="David"/>
          <w:b/>
          <w:bCs/>
          <w:sz w:val="28"/>
          <w:szCs w:val="28"/>
          <w:rtl/>
        </w:rPr>
      </w:pPr>
      <w:r>
        <w:rPr>
          <w:rFonts w:ascii="David" w:hAnsi="David"/>
          <w:b/>
          <w:bCs/>
          <w:sz w:val="28"/>
          <w:szCs w:val="28"/>
          <w:rtl/>
        </w:rPr>
        <w:t xml:space="preserve">בכל מקרה לא יעלה סך התשלומים הניתנים לפי תקנות 10, 10א, 10ב, 10ג ו- 10ד על הקיצבה המיוחדת המכסימלית". </w:t>
      </w:r>
    </w:p>
    <w:p w:rsidR="006B7836" w:rsidRDefault="006B7836" w:rsidP="006B7836">
      <w:pPr>
        <w:spacing w:after="120" w:line="360" w:lineRule="auto"/>
        <w:ind w:left="284" w:right="-284"/>
        <w:contextualSpacing/>
        <w:jc w:val="both"/>
        <w:rPr>
          <w:rFonts w:ascii="David" w:hAnsi="David"/>
          <w:sz w:val="28"/>
          <w:szCs w:val="28"/>
          <w:rtl/>
        </w:rPr>
      </w:pPr>
    </w:p>
    <w:p w:rsidR="006B7836" w:rsidRDefault="006B7836" w:rsidP="006B7836">
      <w:pPr>
        <w:numPr>
          <w:ilvl w:val="0"/>
          <w:numId w:val="1"/>
        </w:numPr>
        <w:spacing w:line="360" w:lineRule="auto"/>
        <w:ind w:left="283" w:hanging="425"/>
        <w:jc w:val="both"/>
        <w:rPr>
          <w:rFonts w:ascii="David" w:hAnsi="David"/>
          <w:sz w:val="28"/>
          <w:szCs w:val="28"/>
          <w:rtl/>
        </w:rPr>
      </w:pPr>
      <w:r>
        <w:rPr>
          <w:rFonts w:ascii="David" w:hAnsi="David"/>
          <w:sz w:val="28"/>
          <w:szCs w:val="28"/>
          <w:rtl/>
        </w:rPr>
        <w:t xml:space="preserve">בין המערערים גב' נאמן ומר בגו, לבין הקופות והמוסד מחלוקת על מהותה ותכליתה של הקצבה המיוחדת, ובעיקר – האם היא נועדה למימון טיפול סיעודי בנפגע עבודה או למימון צרכים אחרים. כפועל יוצא מכך, חלוקים הצדדים בשאלה האם בקביעת מהות והיקף הטיפול הסיעודי שעל הקופות לספק לנפגע עבודה, כמו גם שיעור המימון, יש להתחשב בכך שמשולמת לנפגע עבודה קצבה מיוחדת.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b/>
          <w:bCs/>
          <w:sz w:val="28"/>
          <w:szCs w:val="28"/>
          <w:rtl/>
        </w:rPr>
        <w:t xml:space="preserve">לטענת גב' נאמן </w:t>
      </w:r>
      <w:r>
        <w:rPr>
          <w:rFonts w:ascii="David" w:hAnsi="David"/>
          <w:sz w:val="28"/>
          <w:szCs w:val="28"/>
          <w:rtl/>
        </w:rPr>
        <w:t>הקצבה המיוחדת משתלמת, כאמור 112 לחוק "</w:t>
      </w:r>
      <w:r>
        <w:rPr>
          <w:rFonts w:ascii="David" w:hAnsi="David"/>
          <w:b/>
          <w:bCs/>
          <w:sz w:val="28"/>
          <w:szCs w:val="28"/>
          <w:u w:val="single"/>
          <w:rtl/>
        </w:rPr>
        <w:t>בנוסף</w:t>
      </w:r>
      <w:r>
        <w:rPr>
          <w:rFonts w:ascii="David" w:hAnsi="David"/>
          <w:b/>
          <w:bCs/>
          <w:sz w:val="28"/>
          <w:szCs w:val="28"/>
          <w:rtl/>
        </w:rPr>
        <w:t xml:space="preserve"> לכל קצבה אחרת</w:t>
      </w:r>
      <w:r>
        <w:rPr>
          <w:rFonts w:ascii="David" w:hAnsi="David"/>
          <w:sz w:val="28"/>
          <w:szCs w:val="28"/>
          <w:rtl/>
        </w:rPr>
        <w:t xml:space="preserve">", ויש לדחות את טענת הקופות והמוסד כי היא משמשת למימון "הטיפול הסיעודי הכללי", להבדיל מ"טיפול סיעודי רפואי"; הקצבה המיוחדת נועדה למימון צרכים אחרים של נפגע עבודה, כגון מיטה מיוחדת, מוצרי היגיינה ועוד; נוכח העובדה שהמנוח לא היה זכאי לקצבת ניידות, הקצבה המיוחדת גם נועדה למימון רכישת רכב, אביזרים לרכב, דלק, החזקת רכב וכן נסיעות מיוחדות במונית; ראיה לכך שהקצבה המיוחדת לא נועדה למימון טיפול סיעודי היא שנפגע עבודה המאושפז במוסד זכאי ליהנות ממנה במלואה, בניגוד לזכאי לגמלת שירותים מיוחדים או גמלת סיעוד; העובדה שהקצבה המיוחדת משולמת גם לנפגעי עבודה רבים </w:t>
      </w:r>
      <w:r>
        <w:rPr>
          <w:rFonts w:ascii="David" w:hAnsi="David"/>
          <w:b/>
          <w:bCs/>
          <w:sz w:val="28"/>
          <w:szCs w:val="28"/>
          <w:rtl/>
        </w:rPr>
        <w:t>שאינם</w:t>
      </w:r>
      <w:r>
        <w:rPr>
          <w:rFonts w:ascii="David" w:hAnsi="David"/>
          <w:sz w:val="28"/>
          <w:szCs w:val="28"/>
          <w:rtl/>
        </w:rPr>
        <w:t xml:space="preserve"> סיעודיים, או אינם מטופלים סיעודית בביתם מלמדת גם כן כי הקצבה המיוחדת לא נועדה למימון "טיפול סיעודי כללי". בהקשר זה הפנתה גב' נאמן לפסקי דין שבהם נפסקה קצבה מיוחדת לנפגעי עבודה שאינם סיעודיים [ב"ל (ב"ש) 45323-03-11 </w:t>
      </w:r>
      <w:r>
        <w:rPr>
          <w:rFonts w:ascii="David" w:hAnsi="David"/>
          <w:b/>
          <w:bCs/>
          <w:sz w:val="28"/>
          <w:szCs w:val="28"/>
          <w:rtl/>
        </w:rPr>
        <w:t>ענת דנקורט – המוסד לביטוח לאומי</w:t>
      </w:r>
      <w:r>
        <w:rPr>
          <w:rFonts w:ascii="David" w:hAnsi="David"/>
          <w:sz w:val="28"/>
          <w:szCs w:val="28"/>
          <w:rtl/>
        </w:rPr>
        <w:t xml:space="preserve"> </w:t>
      </w:r>
      <w:r>
        <w:rPr>
          <w:rFonts w:ascii="David" w:hAnsi="David"/>
          <w:sz w:val="28"/>
          <w:szCs w:val="28"/>
          <w:rtl/>
        </w:rPr>
        <w:lastRenderedPageBreak/>
        <w:t xml:space="preserve">(19.7.2012); ב"ל (ב"ש) 27647-10-13 </w:t>
      </w:r>
      <w:r>
        <w:rPr>
          <w:rFonts w:ascii="David" w:hAnsi="David"/>
          <w:b/>
          <w:bCs/>
          <w:sz w:val="28"/>
          <w:szCs w:val="28"/>
          <w:rtl/>
        </w:rPr>
        <w:t>ענת דנקורט – המוסד לביטוח לאומי</w:t>
      </w:r>
      <w:r>
        <w:rPr>
          <w:rFonts w:ascii="David" w:hAnsi="David"/>
          <w:sz w:val="28"/>
          <w:szCs w:val="28"/>
          <w:rtl/>
        </w:rPr>
        <w:t xml:space="preserve"> (3.5.2017); ב"ל (חי) 22924-02-13 </w:t>
      </w:r>
      <w:r>
        <w:rPr>
          <w:rFonts w:ascii="David" w:hAnsi="David"/>
          <w:b/>
          <w:bCs/>
          <w:sz w:val="28"/>
          <w:szCs w:val="28"/>
          <w:rtl/>
        </w:rPr>
        <w:t>כהן – המוסד לביטוח לאומי</w:t>
      </w:r>
      <w:r>
        <w:rPr>
          <w:rFonts w:ascii="David" w:hAnsi="David"/>
          <w:sz w:val="28"/>
          <w:szCs w:val="28"/>
          <w:rtl/>
        </w:rPr>
        <w:t xml:space="preserve"> (8.3.2016); תב"ע (נצ) נו/120 – 0 </w:t>
      </w:r>
      <w:r>
        <w:rPr>
          <w:rFonts w:ascii="David" w:hAnsi="David"/>
          <w:b/>
          <w:bCs/>
          <w:sz w:val="28"/>
          <w:szCs w:val="28"/>
          <w:rtl/>
        </w:rPr>
        <w:t xml:space="preserve">ג'ורג' חמיס – המוסד לביטוח לאומי </w:t>
      </w:r>
      <w:r>
        <w:rPr>
          <w:rFonts w:ascii="David" w:hAnsi="David"/>
          <w:sz w:val="28"/>
          <w:szCs w:val="28"/>
          <w:rtl/>
        </w:rPr>
        <w:t xml:space="preserve">(15.2.1997)]; קבלת עמדת המוסד והקופה תביא לתוצאה שמשפחות נפגעי עבודה יעדיפו אשפוז הנפגע במוסד שלא לרצונו ושלא לטובתו של נפגע עבודה. </w:t>
      </w:r>
    </w:p>
    <w:p w:rsidR="006B7836" w:rsidRDefault="006B7836" w:rsidP="006B7836">
      <w:pPr>
        <w:spacing w:after="120" w:line="360" w:lineRule="auto"/>
        <w:ind w:left="284"/>
        <w:contextualSpacing/>
        <w:jc w:val="both"/>
        <w:rPr>
          <w:rFonts w:ascii="David" w:hAnsi="David"/>
          <w:sz w:val="28"/>
          <w:szCs w:val="28"/>
        </w:rPr>
      </w:pPr>
      <w:r>
        <w:rPr>
          <w:rFonts w:ascii="David" w:hAnsi="David"/>
          <w:b/>
          <w:bCs/>
          <w:sz w:val="28"/>
          <w:szCs w:val="28"/>
          <w:rtl/>
        </w:rPr>
        <w:t xml:space="preserve">לטענה זו הצטרף גם מר בגו, </w:t>
      </w:r>
      <w:r>
        <w:rPr>
          <w:rFonts w:ascii="David" w:hAnsi="David"/>
          <w:sz w:val="28"/>
          <w:szCs w:val="28"/>
          <w:rtl/>
        </w:rPr>
        <w:t>שטען</w:t>
      </w:r>
      <w:r>
        <w:rPr>
          <w:rFonts w:ascii="David" w:hAnsi="David"/>
          <w:b/>
          <w:bCs/>
          <w:sz w:val="28"/>
          <w:szCs w:val="28"/>
          <w:rtl/>
        </w:rPr>
        <w:t xml:space="preserve"> </w:t>
      </w:r>
      <w:r>
        <w:rPr>
          <w:rFonts w:ascii="David" w:hAnsi="David"/>
          <w:sz w:val="28"/>
          <w:szCs w:val="28"/>
          <w:rtl/>
        </w:rPr>
        <w:t xml:space="preserve">כי הוצאותיו עקב מצבו הרפואי (טיפולים רפואיים משלימים, הוצאות בגין תרופות ומשחות, אביזרים מתבלים ומתכלים (מיטות מתכווננות, חומרי ספיגה, קטטרים ועוד), הוצאות לקירור/חימום הבית ועוד) גבוהות בהרבה מעלות החזקתו של עובד זר; אין קשר בין הזכאות לקצבה מיוחדת שנועדה לממן הוצאות אלה לבין העזרה הסיעודית שהוא מקבל. בהקשר זה הדגיש מר בגו כי יש שוני מהותי בין קצבת שירותים מיוחדים שמשולמת אך ורק למימון עזרת הזולת, לבין קצבה מיוחדת המשולמת לנפגע עבודה, שנועדה למימון צרכים שונים ומגוונים הנובעים מהנכות הקשה, וראייה לכך היא העובדה שהקצבה המיוחדת לא נשללת מנפגע עבודה גם אם אושפז במוסד. </w:t>
      </w:r>
    </w:p>
    <w:p w:rsidR="006B7836" w:rsidRDefault="006B7836" w:rsidP="006B7836">
      <w:pPr>
        <w:spacing w:after="120" w:line="360" w:lineRule="auto"/>
        <w:ind w:left="284"/>
        <w:contextualSpacing/>
        <w:jc w:val="both"/>
        <w:rPr>
          <w:rFonts w:ascii="David" w:hAnsi="David"/>
          <w:sz w:val="28"/>
          <w:szCs w:val="28"/>
          <w:rtl/>
        </w:rPr>
      </w:pPr>
      <w:r>
        <w:rPr>
          <w:rFonts w:ascii="David" w:hAnsi="David"/>
          <w:b/>
          <w:bCs/>
          <w:sz w:val="28"/>
          <w:szCs w:val="28"/>
          <w:rtl/>
        </w:rPr>
        <w:t xml:space="preserve">המוסד טען כי </w:t>
      </w:r>
      <w:r>
        <w:rPr>
          <w:rFonts w:ascii="David" w:hAnsi="David"/>
          <w:sz w:val="28"/>
          <w:szCs w:val="28"/>
          <w:rtl/>
        </w:rPr>
        <w:t>הקצבה המיוחדת על פי סעיף 112 לחוק נועדה למימון הטיפול הסיעודי במנוח ובמר בגו; הקצבה המיוחדת שולמה למנוח ומשולמת למר בגו מכוח תקנה 10(ד) לתקנות קצבה מיוחדת, הקובעת כי "</w:t>
      </w:r>
      <w:r>
        <w:rPr>
          <w:rFonts w:ascii="David" w:hAnsi="David"/>
          <w:b/>
          <w:bCs/>
          <w:sz w:val="28"/>
          <w:szCs w:val="28"/>
          <w:rtl/>
        </w:rPr>
        <w:t>נכה שעקב נכותו תלוי לחלוטין בעזרת הזולת בביצוע כל פעולות היום יום זכאי לקצבה מיוחדת בסכום השווה לקצבה המיוחדת המקסימלית</w:t>
      </w:r>
      <w:r>
        <w:rPr>
          <w:rFonts w:ascii="David" w:hAnsi="David"/>
          <w:sz w:val="28"/>
          <w:szCs w:val="28"/>
          <w:rtl/>
        </w:rPr>
        <w:t>"; מכאן, שהקצבה המיוחדת משתלמת לנפגע עבודה בשל היותו נכה סיעודי הזקוק לעזרה בפעולות היום יום (</w:t>
      </w:r>
      <w:r>
        <w:rPr>
          <w:rFonts w:asciiTheme="minorHAnsi" w:hAnsiTheme="minorHAnsi"/>
          <w:sz w:val="28"/>
          <w:szCs w:val="28"/>
          <w:rtl/>
        </w:rPr>
        <w:t xml:space="preserve">פעולות – ה- </w:t>
      </w:r>
      <w:r>
        <w:rPr>
          <w:rFonts w:asciiTheme="minorHAnsi" w:hAnsiTheme="minorHAnsi"/>
          <w:sz w:val="28"/>
          <w:szCs w:val="28"/>
        </w:rPr>
        <w:t>ADL</w:t>
      </w:r>
      <w:r>
        <w:rPr>
          <w:rFonts w:ascii="David" w:hAnsi="David"/>
          <w:sz w:val="28"/>
          <w:szCs w:val="28"/>
          <w:rtl/>
        </w:rPr>
        <w:t xml:space="preserve">) ותכליתה לממן עזרה זו. </w:t>
      </w:r>
    </w:p>
    <w:p w:rsidR="006B7836" w:rsidRDefault="006B7836" w:rsidP="006B7836">
      <w:pPr>
        <w:spacing w:after="120" w:line="360" w:lineRule="auto"/>
        <w:ind w:left="284"/>
        <w:contextualSpacing/>
        <w:jc w:val="both"/>
        <w:rPr>
          <w:rFonts w:ascii="David" w:hAnsi="David"/>
          <w:sz w:val="28"/>
          <w:szCs w:val="28"/>
          <w:rtl/>
        </w:rPr>
      </w:pPr>
      <w:r>
        <w:rPr>
          <w:rFonts w:ascii="David" w:hAnsi="David"/>
          <w:b/>
          <w:bCs/>
          <w:sz w:val="28"/>
          <w:szCs w:val="28"/>
          <w:rtl/>
        </w:rPr>
        <w:t xml:space="preserve">קופות החולים תמכו בעמדת המוסד, </w:t>
      </w:r>
      <w:r>
        <w:rPr>
          <w:rFonts w:ascii="David" w:hAnsi="David"/>
          <w:sz w:val="28"/>
          <w:szCs w:val="28"/>
          <w:rtl/>
        </w:rPr>
        <w:t xml:space="preserve">וטענו כי הקצבה המיוחדת נועדה לממן טיפול סיעודי כללי בנפגע עבודה הזקוק לסיוע בביצוע פעולות היום יום, להבדיל מטיפול סיעודי רפואי, ועל כך ניתן ללמוד מהמבחנים בתקנות לתשלומה. </w:t>
      </w:r>
    </w:p>
    <w:p w:rsidR="006B7836" w:rsidRDefault="006B7836" w:rsidP="006B7836">
      <w:pPr>
        <w:numPr>
          <w:ilvl w:val="0"/>
          <w:numId w:val="1"/>
        </w:numPr>
        <w:spacing w:line="360" w:lineRule="auto"/>
        <w:ind w:left="283" w:hanging="425"/>
        <w:jc w:val="both"/>
        <w:rPr>
          <w:rFonts w:ascii="David" w:hAnsi="David"/>
          <w:sz w:val="28"/>
          <w:szCs w:val="28"/>
          <w:rtl/>
        </w:rPr>
      </w:pPr>
      <w:r>
        <w:rPr>
          <w:rFonts w:ascii="David" w:hAnsi="David"/>
          <w:sz w:val="28"/>
          <w:szCs w:val="28"/>
          <w:rtl/>
        </w:rPr>
        <w:t xml:space="preserve">במחלוקת זו שבין המערערים לבין המוסד וקופות החולים אין בידינו לקבל את טענות המערערים, ואנו סבורים כי תכלית עיקרית (גם אם לא בלעדית) של הקצבה המיוחדת על פי תקנה 10 הוא מימון טיפול סיעודי כללי לנפגע עבודה, ובענייננו - זו התכלית העיקרית של הקצבה המיוחדת ששולמה למנוח ולמר בגו. כפי העולה מתקנות קצבה מיוחדת, יש מספר "סוגים" של קצבה מיוחדת: קצבה מיוחדת להחזקה אישית, ששיעורה עולה ככל שמידת התלות של נפגע עבודה בעזרת הזולת </w:t>
      </w:r>
      <w:r>
        <w:rPr>
          <w:rFonts w:ascii="David" w:hAnsi="David"/>
          <w:sz w:val="28"/>
          <w:szCs w:val="28"/>
          <w:rtl/>
        </w:rPr>
        <w:lastRenderedPageBreak/>
        <w:t xml:space="preserve">בביצוע פעולות היום יום גדולה יותר או ככל שהצורך בהסעות שלא בתחבורה ציבורית גדול יותר (תקנה 10); קצבה מיוחדת להחזקת רכב, בכפוף לזכאות לגמלת ניידות על פי הסכם הניידות– על פי הסדרים שונים המעוגנים בתקנות (תקנה 10א ותקנה 10ב) או באמצעות הגדלת סכום הקצבה המיוחדת על פי תקנה 10 ב- 10% (תקנה 10ג); קצבה מיוחדת לשיקום מקצועי או לדרכי עיסוק (תקנה 10ד). בכל הנוגע לקצבה מיוחדת המשולמת לפי תקנה 10, הרי נוכח המבחנים לקביעת שיעור הקצבה, כך ששיעור הקצבה עולה ככל שמידת התלות של נפגע העבודה בזולת בביצוע פעולות היום יום היא גבוהה יותר מתחייבת המסקנה כי </w:t>
      </w:r>
      <w:r>
        <w:rPr>
          <w:rFonts w:ascii="David" w:hAnsi="David"/>
          <w:b/>
          <w:bCs/>
          <w:sz w:val="28"/>
          <w:szCs w:val="28"/>
          <w:rtl/>
        </w:rPr>
        <w:t xml:space="preserve">תכלית עיקרית </w:t>
      </w:r>
      <w:r>
        <w:rPr>
          <w:rFonts w:ascii="David" w:hAnsi="David"/>
          <w:sz w:val="28"/>
          <w:szCs w:val="28"/>
          <w:rtl/>
        </w:rPr>
        <w:t xml:space="preserve">של הקצבה המיוחדת היא לממן לנפגע עבודה את הסיוע הנדרש לו בביצוע פעולות היום יום, עת בדרך כלל הסיוע ניתן על ידי עובד סיעודי המסייע לו בביצוע פעולות אלה. אכן, על פי תקנות 10(ב) ו- 10(ג) נפגע עבודה עשוי להיות זכאי לקצבה מיוחדת בשל כך שהוא נזקק במידה רבה או בקביעות להסעות שלא בתחבורה ציבורית. כמו כן, על פי תקנה 10ד נפגע עבודה עשוי להיות זכאי לקצבה מיוחדת לכיסוי הוצאות הדרושות לשיקום מקצועי או לשמירת עיסוקו. אולם אין בכך שלקצבה המיוחדת מספר תכליות, וכי הקצבה המיוחדת משתלמת גם לנפגע עבודה שאינו סיעודי על פי המבחנים שנקבעו בתקנות, כדי לשלול את מהותה ותכליתה העיקרית של קצבה מיוחדת המשתלמת על פי תקנה 10 - מימון הסיוע הדרוש לנפגע עבודה לצורך ביצוע פעולות יום יום – באותם מקרים שבהם היא משולמת לנפגע עבודה הנזקק לעזרה בביצוע פעולות היום יום. לכך יש להוסיף, כי על פי תקנה 10(ה) לתקנות, ככל שמשולמת לנכה קצבה להחזקת רכב, הזכאות לקצבה מיוחדת נגזרת אך ורק ממידת התלות בעזרת הזולת בביצוע פעולות יום יום, וכן כי על פי תקנה 10ג לתקנות שיעור הקצבה המיוחדת מוגדל ב- 10% מעבר למגיע על פי מידת התלות, ככל שנפגע עבודה אינו מקבל קצבת ניידות או קצבה מיוחדת להחזקת רכב. מכאן, כי באותם מקרים שבהם נפגע עבודה זקוק לסיוע בפעולות היום יום משולמת לו הקצבה המיוחדת לצורך כך, ומשולם לו תשלום נוסף לצורך ניידות. </w:t>
      </w:r>
    </w:p>
    <w:p w:rsidR="006B7836" w:rsidRDefault="006B7836" w:rsidP="006B7836">
      <w:pPr>
        <w:numPr>
          <w:ilvl w:val="0"/>
          <w:numId w:val="1"/>
        </w:numPr>
        <w:spacing w:line="360" w:lineRule="auto"/>
        <w:jc w:val="both"/>
        <w:rPr>
          <w:rFonts w:ascii="David" w:hAnsi="David"/>
          <w:sz w:val="28"/>
          <w:szCs w:val="28"/>
        </w:rPr>
      </w:pPr>
      <w:r>
        <w:rPr>
          <w:rFonts w:ascii="David" w:hAnsi="David"/>
          <w:sz w:val="28"/>
          <w:szCs w:val="28"/>
          <w:rtl/>
        </w:rPr>
        <w:t>על תכליתה העיקרית</w:t>
      </w:r>
      <w:r>
        <w:rPr>
          <w:rFonts w:ascii="David" w:hAnsi="David"/>
          <w:b/>
          <w:bCs/>
          <w:sz w:val="28"/>
          <w:szCs w:val="28"/>
          <w:rtl/>
        </w:rPr>
        <w:t xml:space="preserve"> </w:t>
      </w:r>
      <w:r>
        <w:rPr>
          <w:rFonts w:ascii="David" w:hAnsi="David"/>
          <w:sz w:val="28"/>
          <w:szCs w:val="28"/>
          <w:rtl/>
        </w:rPr>
        <w:t xml:space="preserve">של הקצבה המיוחדת ניתן ללמוד גם מהוראת סעיף 228 לחוק, השולל זכאות לגמלת סיעוד ולקצבה מיוחדת בו זמנית, ומאפשר למבוטח לבחור אחת משתי גמלאות אלה (או גמלת שירותים מיוחדים; להלן – </w:t>
      </w:r>
      <w:r>
        <w:rPr>
          <w:rFonts w:ascii="David" w:hAnsi="David"/>
          <w:b/>
          <w:bCs/>
          <w:sz w:val="28"/>
          <w:szCs w:val="28"/>
          <w:rtl/>
        </w:rPr>
        <w:t>גמלת</w:t>
      </w:r>
      <w:r>
        <w:rPr>
          <w:rFonts w:ascii="David" w:hAnsi="David"/>
          <w:sz w:val="28"/>
          <w:szCs w:val="28"/>
          <w:rtl/>
        </w:rPr>
        <w:t xml:space="preserve"> </w:t>
      </w:r>
      <w:r>
        <w:rPr>
          <w:rFonts w:ascii="David" w:hAnsi="David"/>
          <w:b/>
          <w:bCs/>
          <w:sz w:val="28"/>
          <w:szCs w:val="28"/>
          <w:rtl/>
        </w:rPr>
        <w:t>שר"מ</w:t>
      </w:r>
      <w:r>
        <w:rPr>
          <w:rFonts w:ascii="David" w:hAnsi="David"/>
          <w:sz w:val="28"/>
          <w:szCs w:val="28"/>
          <w:rtl/>
        </w:rPr>
        <w:t xml:space="preserve">). אכן, בניגוד להסדר שנקבע בסעיף 227 לחוק השולל גמלת סיעוד ממבוטח השוהה במוסד סיעודי, או בתקנה 6 לתקנות הביטוח הלאומי (ביטוח נכות) (מתן </w:t>
      </w:r>
      <w:r>
        <w:rPr>
          <w:rFonts w:ascii="David" w:hAnsi="David"/>
          <w:sz w:val="28"/>
          <w:szCs w:val="28"/>
          <w:rtl/>
        </w:rPr>
        <w:lastRenderedPageBreak/>
        <w:t xml:space="preserve">שירותים מיוחדים), תשל"ט – 1978, שלפיהם  נשללת הזכאות לגמלת שר"מ ממבוטח השוהה במוסד, הקצבה המיוחדת לא נשללת מנפגע עבודה גם אם הוא שוהה במוסד סיעודי, כפי שאישר המוסד בטיעונו לפנינו (פרוטוקול 30.4.2018 ע' 12 ש' 5 – 6). אולם, לטעמנו, העובדה שהזכאות לא נשללת מנפגע עבודה גם אם הוא שוהה במוסד, אין בה כדי לשלול את המסקנה כי תכליתה העיקרית (גם אם לא הבלעדית) של הקצבה המיוחדת על פי סעיף 10 היא לממן את הטיפול הסיעודי הנדרש לנפגע עבודה, ולצורך החזקת רכב משולם לנפגע עבודה סכום נוסף, ככל שהוא אינו זכאי לגמלת ניידות.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sz w:val="28"/>
          <w:szCs w:val="28"/>
          <w:rtl/>
        </w:rPr>
        <w:t xml:space="preserve">בהתייחס לטענה כי תכלית הקצבה המיוחדת היא רכישת רכב, ציוד מיוחד או אביזרי עזר, הרי שעל פי תקנה 2 לתקנות קצבה מיוחדת זכאי נפגע עבודה למענק מיוחד לסידורים חד פעמיים למטרות אלה – סיוע בהתאמת תנאי המגורים, סיוע ברכישת אביזרי עזר וסיוע בפתרון בעיית הניידות על ידי רכישת רכב, וזאת על פי תכנית שהמוסד אישר. עוד יש לזכור, כי לפחות בחלק מהמקרים, כבעניינו של מר בגו, נפגע עבודה זכאי לגמלת ניידות לצורך הסיוע הנדרש לו לרכישת רכב ומימון החזקת רכב.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sz w:val="28"/>
          <w:szCs w:val="28"/>
          <w:rtl/>
        </w:rPr>
        <w:t xml:space="preserve">בהתייחס לפסיקה אליה הפנתה גב' נאמן – הרי שבאותם מקרים אכן שולמה קצבה מיוחדת על פי החלופה השנייה בתקנה 10(ג), דהיינו הצורך הקבוע להסעות שלא בתחבורה ציבורית, אולם כמוסבר אין בכך כדי לשלול כי תכלית עיקרית גם אם לא בלעדית של הקצבה המיוחדת הוא מימון הסיוע בביצוע פעולות יום יום, ובנסיבותיהם של המנוח ומר בגו זו תכלית הקצבה המיוחדת ששולמה להם.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sz w:val="28"/>
          <w:szCs w:val="28"/>
          <w:rtl/>
        </w:rPr>
        <w:t xml:space="preserve">אין ספק, כנטען על ידי מר בגו, כי לנפגע עבודה שנקבעה לו דרגת נכות גבוהה הוצאות רבות מסוגים שונים עקב מצבו הרפואי, ולא רק הוצאות למימון טיפול סיעודי. אולם, גם אם ההוצאות שפירט מר בגו אינן ממומנות בעין או מקצבאות אחרות, אין בכך כדי לשלול את המסקנה בדבר מהות הקצבה המיוחדת ששולמה לו ותכליתה העיקרית. זאת ועוד. בעניינם של המנוח והמערערים שיעור הקצבה המיוחדת ששילם המוסד (מבלי שמביאים בחשבון את השתתפות קופות החולים) היה גבוה מעלות העסקתו של העובד הסיעודי הזר, כך שנותרו כספים מהקצבה המיוחדת גם למימון צרכים נוספים.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b/>
          <w:bCs/>
          <w:sz w:val="28"/>
          <w:szCs w:val="28"/>
          <w:rtl/>
        </w:rPr>
        <w:t xml:space="preserve">כללו של דבר </w:t>
      </w:r>
      <w:r>
        <w:rPr>
          <w:rFonts w:ascii="David" w:hAnsi="David"/>
          <w:sz w:val="28"/>
          <w:szCs w:val="28"/>
          <w:rtl/>
        </w:rPr>
        <w:t xml:space="preserve">- נדחית טענת המערערים כי הקצבה המיוחדת אינה מיועדת כלל למימון טיפול סיעודי כללי, דהיינו סיוע בפעולות היום יום אלא למימון הוצאות </w:t>
      </w:r>
      <w:r>
        <w:rPr>
          <w:rFonts w:ascii="David" w:hAnsi="David"/>
          <w:sz w:val="28"/>
          <w:szCs w:val="28"/>
          <w:rtl/>
        </w:rPr>
        <w:lastRenderedPageBreak/>
        <w:t xml:space="preserve">אחרות של נפגע עבודה. בענייננו התכלית העיקרית (גם אם לא בלעדית) של הקצבה המיוחדת ששולמה למנוח ולמר בגו הייתה מימון הטיפול הסיעודי הכללי. </w:t>
      </w:r>
    </w:p>
    <w:p w:rsidR="00CC6AB9" w:rsidRDefault="00CC6AB9">
      <w:pPr>
        <w:bidi w:val="0"/>
        <w:rPr>
          <w:rFonts w:ascii="David" w:hAnsi="David"/>
          <w:b/>
          <w:bCs/>
          <w:sz w:val="28"/>
          <w:szCs w:val="28"/>
          <w:rtl/>
        </w:rPr>
      </w:pPr>
      <w:r>
        <w:rPr>
          <w:rFonts w:ascii="David" w:hAnsi="David"/>
          <w:b/>
          <w:bCs/>
          <w:sz w:val="28"/>
          <w:szCs w:val="28"/>
          <w:rtl/>
        </w:rPr>
        <w:br w:type="page"/>
      </w:r>
    </w:p>
    <w:p w:rsidR="006B7836" w:rsidRDefault="006B7836" w:rsidP="006B7836">
      <w:pPr>
        <w:spacing w:after="120" w:line="360" w:lineRule="auto"/>
        <w:ind w:left="284"/>
        <w:contextualSpacing/>
        <w:jc w:val="both"/>
        <w:rPr>
          <w:rFonts w:ascii="David" w:hAnsi="David"/>
          <w:b/>
          <w:bCs/>
          <w:sz w:val="28"/>
          <w:szCs w:val="28"/>
          <w:rtl/>
        </w:rPr>
      </w:pPr>
      <w:r>
        <w:rPr>
          <w:rFonts w:ascii="David" w:hAnsi="David"/>
          <w:b/>
          <w:bCs/>
          <w:sz w:val="28"/>
          <w:szCs w:val="28"/>
          <w:rtl/>
        </w:rPr>
        <w:lastRenderedPageBreak/>
        <w:t>מהות והיקף הטיפול הסיעודי שקופות חולים חייבות לספק לנפגעי עבודה:</w:t>
      </w:r>
    </w:p>
    <w:p w:rsidR="006B7836" w:rsidRDefault="006B7836" w:rsidP="006B7836">
      <w:pPr>
        <w:numPr>
          <w:ilvl w:val="0"/>
          <w:numId w:val="1"/>
        </w:numPr>
        <w:spacing w:line="360" w:lineRule="auto"/>
        <w:ind w:left="283" w:hanging="425"/>
        <w:jc w:val="both"/>
        <w:rPr>
          <w:rFonts w:ascii="David" w:hAnsi="David"/>
          <w:sz w:val="28"/>
          <w:szCs w:val="28"/>
          <w:rtl/>
        </w:rPr>
      </w:pPr>
      <w:r>
        <w:rPr>
          <w:rFonts w:ascii="David" w:hAnsi="David"/>
          <w:sz w:val="28"/>
          <w:szCs w:val="28"/>
          <w:rtl/>
        </w:rPr>
        <w:t xml:space="preserve">כאמור, המוסד נותן באמצעות קופות החולים שירותי ריפוי, החלמה ושיקום רפואי. בעניין זה נחתמו בין המוסד לבין קופת החולים הסכמים בשנת 1990 ובשנת 2003. נוכח העובדה שחלה התיישנות על תביעתו של מר בגו לתקופה שקדמה לשנת 2006 (ועל קביעה זו אין ערעור לפנינו), רלוונטיות לענייננו הוראות הסכם 2003. על פי הנטען, הוראות ההסכמים שבין המוסד לבין קופות החולים השונות זהים, ועל כן נצטט לענייננו מהוראות הסכם 2003 שבין המוסד לבין הכללית.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sz w:val="28"/>
          <w:szCs w:val="28"/>
          <w:rtl/>
        </w:rPr>
        <w:t xml:space="preserve">בסעיף 3(א) להסכם 2003 התחייבה הקופה לבצע בעצמה ו/או לממן </w:t>
      </w:r>
      <w:r>
        <w:rPr>
          <w:rFonts w:ascii="David" w:hAnsi="David"/>
          <w:b/>
          <w:bCs/>
          <w:sz w:val="28"/>
          <w:szCs w:val="28"/>
          <w:rtl/>
        </w:rPr>
        <w:t>"מתן ריפוי, החלמה ושיקום רפואי כמפורט בהסכם זה וכאמור בתקנות</w:t>
      </w:r>
      <w:r>
        <w:rPr>
          <w:rFonts w:ascii="David" w:hAnsi="David"/>
          <w:sz w:val="28"/>
          <w:szCs w:val="28"/>
          <w:rtl/>
        </w:rPr>
        <w:t xml:space="preserve"> [תקנות ריפוי רפואי – ל.ג.] </w:t>
      </w:r>
      <w:r>
        <w:rPr>
          <w:rFonts w:ascii="David" w:hAnsi="David"/>
          <w:b/>
          <w:bCs/>
          <w:sz w:val="28"/>
          <w:szCs w:val="28"/>
          <w:rtl/>
        </w:rPr>
        <w:t xml:space="preserve">וסימן ג' לפרק ה' לחוק כפי שיפורשו על ידי בתי המשפט המוסמכים </w:t>
      </w:r>
      <w:r>
        <w:rPr>
          <w:rFonts w:ascii="David" w:hAnsi="David"/>
          <w:sz w:val="28"/>
          <w:szCs w:val="28"/>
          <w:rtl/>
        </w:rPr>
        <w:t>(להלן –</w:t>
      </w:r>
      <w:r>
        <w:rPr>
          <w:rFonts w:ascii="David" w:hAnsi="David"/>
          <w:b/>
          <w:bCs/>
          <w:sz w:val="28"/>
          <w:szCs w:val="28"/>
          <w:rtl/>
        </w:rPr>
        <w:t xml:space="preserve"> "השירותים הרפואיים"</w:t>
      </w:r>
      <w:r>
        <w:rPr>
          <w:rFonts w:ascii="David" w:hAnsi="David"/>
          <w:sz w:val="28"/>
          <w:szCs w:val="28"/>
          <w:rtl/>
        </w:rPr>
        <w:t>)</w:t>
      </w:r>
      <w:r>
        <w:rPr>
          <w:rFonts w:ascii="David" w:hAnsi="David"/>
          <w:b/>
          <w:bCs/>
          <w:sz w:val="28"/>
          <w:szCs w:val="28"/>
          <w:rtl/>
        </w:rPr>
        <w:t>".</w:t>
      </w:r>
      <w:r>
        <w:rPr>
          <w:rFonts w:ascii="David" w:hAnsi="David"/>
          <w:sz w:val="28"/>
          <w:szCs w:val="28"/>
          <w:rtl/>
        </w:rPr>
        <w:t xml:space="preserve"> </w:t>
      </w:r>
    </w:p>
    <w:p w:rsidR="006B7836" w:rsidRDefault="006B7836" w:rsidP="006B7836">
      <w:pPr>
        <w:spacing w:after="120" w:line="360" w:lineRule="auto"/>
        <w:ind w:left="284"/>
        <w:contextualSpacing/>
        <w:jc w:val="both"/>
        <w:rPr>
          <w:rFonts w:ascii="David" w:hAnsi="David"/>
          <w:sz w:val="28"/>
          <w:szCs w:val="28"/>
        </w:rPr>
      </w:pPr>
      <w:r>
        <w:rPr>
          <w:rFonts w:ascii="David" w:hAnsi="David"/>
          <w:sz w:val="28"/>
          <w:szCs w:val="28"/>
          <w:rtl/>
        </w:rPr>
        <w:t xml:space="preserve">בסעיף 3(ב)(1) להסכם 2003 ניתן פירוט של השירותים הרפואיים שעל הקופה לספק על פי הסכם 2003, וביניהם </w:t>
      </w:r>
      <w:r>
        <w:rPr>
          <w:rFonts w:ascii="David" w:hAnsi="David"/>
          <w:b/>
          <w:bCs/>
          <w:sz w:val="28"/>
          <w:szCs w:val="28"/>
          <w:rtl/>
        </w:rPr>
        <w:t>"...אשפוז (לרבות אשפוז סיעודי ואשפוז סיעודי מורכב) או טיפול סיעודי (מורכב ואף שאינו מורכב) הניתן בבית בו שוהה מקבל השירות, או במוסד השייך לקופה או במוסד שאינו בבעלות הקופה אשר הקופה תפנה אליו..."</w:t>
      </w:r>
      <w:r>
        <w:rPr>
          <w:rFonts w:ascii="David" w:hAnsi="David"/>
          <w:sz w:val="28"/>
          <w:szCs w:val="28"/>
          <w:rtl/>
        </w:rPr>
        <w:t xml:space="preserve">. </w:t>
      </w:r>
    </w:p>
    <w:p w:rsidR="006B7836" w:rsidRDefault="006B7836" w:rsidP="006B7836">
      <w:pPr>
        <w:numPr>
          <w:ilvl w:val="0"/>
          <w:numId w:val="1"/>
        </w:numPr>
        <w:spacing w:line="360" w:lineRule="auto"/>
        <w:ind w:left="283" w:hanging="425"/>
        <w:jc w:val="both"/>
        <w:rPr>
          <w:rFonts w:ascii="David" w:hAnsi="David"/>
          <w:sz w:val="28"/>
          <w:szCs w:val="28"/>
          <w:rtl/>
        </w:rPr>
      </w:pPr>
      <w:r>
        <w:rPr>
          <w:rFonts w:ascii="David" w:hAnsi="David"/>
          <w:sz w:val="28"/>
          <w:szCs w:val="28"/>
          <w:rtl/>
        </w:rPr>
        <w:t xml:space="preserve">כפי העולה מהוראות הסכם 2003, אין בהסכם הגדרה מהו "טיפול סיעודי" שהקופה חייבת ליתן לנפגע עבודה בהתאם להוראות ההסכם. כפי שנקבע בפסקי הדין האזוריים בעניין נאמן ובעניין בגו, במהלך השנים התגבש נוהג שלפיו </w:t>
      </w:r>
      <w:r>
        <w:rPr>
          <w:rFonts w:asciiTheme="minorHAnsi" w:hAnsiTheme="minorHAnsi"/>
          <w:sz w:val="28"/>
          <w:szCs w:val="28"/>
          <w:rtl/>
        </w:rPr>
        <w:t xml:space="preserve">קופות החולים מממנות "טיפול סיעודי רפואי", להבדיל מ"טיפול סיעודי כללי", דהיינו סיוע בפעולות היום יום, וזאת בהיקף של </w:t>
      </w:r>
      <w:r>
        <w:rPr>
          <w:rFonts w:asciiTheme="minorHAnsi" w:hAnsiTheme="minorHAnsi"/>
          <w:b/>
          <w:bCs/>
          <w:sz w:val="28"/>
          <w:szCs w:val="28"/>
          <w:rtl/>
        </w:rPr>
        <w:t>עד</w:t>
      </w:r>
      <w:r>
        <w:rPr>
          <w:rFonts w:asciiTheme="minorHAnsi" w:hAnsiTheme="minorHAnsi"/>
          <w:sz w:val="28"/>
          <w:szCs w:val="28"/>
          <w:rtl/>
        </w:rPr>
        <w:t xml:space="preserve"> 8 שעות ביום, על פי קביעת הקופה.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b/>
          <w:bCs/>
          <w:sz w:val="28"/>
          <w:szCs w:val="28"/>
          <w:rtl/>
        </w:rPr>
        <w:t>טענתה העיקרית של גב' נאמן</w:t>
      </w:r>
      <w:r>
        <w:rPr>
          <w:rFonts w:ascii="David" w:hAnsi="David"/>
          <w:sz w:val="28"/>
          <w:szCs w:val="28"/>
          <w:rtl/>
        </w:rPr>
        <w:t xml:space="preserve"> היא כי לעניין זכויותיו של נפגע עבודה הזכאי לטיפול סיעודי אין בסיס להבחנה בין "טיפול סיעודי </w:t>
      </w:r>
      <w:r>
        <w:rPr>
          <w:rFonts w:ascii="David" w:hAnsi="David"/>
          <w:b/>
          <w:bCs/>
          <w:sz w:val="28"/>
          <w:szCs w:val="28"/>
          <w:rtl/>
        </w:rPr>
        <w:t>כללי"</w:t>
      </w:r>
      <w:r>
        <w:rPr>
          <w:rFonts w:ascii="David" w:hAnsi="David"/>
          <w:sz w:val="28"/>
          <w:szCs w:val="28"/>
          <w:rtl/>
        </w:rPr>
        <w:t xml:space="preserve">, סיוע בפעולות ה- </w:t>
      </w:r>
      <w:r>
        <w:rPr>
          <w:rFonts w:ascii="David" w:hAnsi="David"/>
          <w:sz w:val="28"/>
          <w:szCs w:val="28"/>
        </w:rPr>
        <w:t>ADL</w:t>
      </w:r>
      <w:r>
        <w:rPr>
          <w:rFonts w:ascii="David" w:hAnsi="David"/>
          <w:sz w:val="28"/>
          <w:szCs w:val="28"/>
          <w:rtl/>
        </w:rPr>
        <w:t xml:space="preserve">, לבין "טיפול סיעודי </w:t>
      </w:r>
      <w:r>
        <w:rPr>
          <w:rFonts w:ascii="David" w:hAnsi="David"/>
          <w:b/>
          <w:bCs/>
          <w:sz w:val="28"/>
          <w:szCs w:val="28"/>
          <w:rtl/>
        </w:rPr>
        <w:t>רפואי"</w:t>
      </w:r>
      <w:r>
        <w:rPr>
          <w:rFonts w:ascii="David" w:hAnsi="David"/>
          <w:sz w:val="28"/>
          <w:szCs w:val="28"/>
          <w:rtl/>
        </w:rPr>
        <w:t xml:space="preserve">; על כך ש"טיפול סיעודי כללי" הוא גם בגדר "טיפול רפואי" ניתן ללמוד מסעיף 2 לחוק זכויות החולה, תשנ"ו – 1996,  (להלן – </w:t>
      </w:r>
      <w:r>
        <w:rPr>
          <w:rFonts w:ascii="David" w:hAnsi="David"/>
          <w:b/>
          <w:bCs/>
          <w:sz w:val="28"/>
          <w:szCs w:val="28"/>
          <w:rtl/>
        </w:rPr>
        <w:t>חוק זכויות החולה</w:t>
      </w:r>
      <w:r>
        <w:rPr>
          <w:rFonts w:ascii="David" w:hAnsi="David"/>
          <w:sz w:val="28"/>
          <w:szCs w:val="28"/>
          <w:rtl/>
        </w:rPr>
        <w:t>)</w:t>
      </w:r>
      <w:r>
        <w:rPr>
          <w:rFonts w:ascii="David" w:hAnsi="David"/>
          <w:b/>
          <w:bCs/>
          <w:sz w:val="28"/>
          <w:szCs w:val="28"/>
          <w:rtl/>
        </w:rPr>
        <w:t xml:space="preserve">, </w:t>
      </w:r>
      <w:r>
        <w:rPr>
          <w:rFonts w:ascii="David" w:hAnsi="David"/>
          <w:sz w:val="28"/>
          <w:szCs w:val="28"/>
          <w:rtl/>
        </w:rPr>
        <w:t xml:space="preserve">שבו נקבע כי "טיפול רפואי" הוא </w:t>
      </w:r>
      <w:r>
        <w:rPr>
          <w:rFonts w:ascii="David" w:hAnsi="David"/>
          <w:b/>
          <w:bCs/>
          <w:i/>
          <w:iCs/>
          <w:sz w:val="28"/>
          <w:szCs w:val="28"/>
          <w:rtl/>
        </w:rPr>
        <w:t>"לרבות פעולות אבחון רפואי, טיפול רפואי מונע, טיפול פסיכולוגי או טיפול סיעודי";</w:t>
      </w:r>
      <w:r>
        <w:rPr>
          <w:rFonts w:ascii="David" w:hAnsi="David"/>
          <w:sz w:val="28"/>
          <w:szCs w:val="28"/>
          <w:rtl/>
        </w:rPr>
        <w:t xml:space="preserve"> לאבחנה זו גם אין עיגון בהסכמים בין המוסד לבין קופות החולים במועדים הרלוונטיים לתביעה, ובכל מקרה יש לפרש את ההסכם בין המוסד וקופת החולים בהרחבה, לטובת נפגעי העבודה כנהוג בחקיקה סוציאלית ולרעת מנסחיו; הפעולות שהמוסד והקופות מכנים "טיפול סיעודי כללי" (שמירה על היגיינה (טיפול בהפרשות, </w:t>
      </w:r>
      <w:r>
        <w:rPr>
          <w:rFonts w:ascii="David" w:hAnsi="David"/>
          <w:sz w:val="28"/>
          <w:szCs w:val="28"/>
          <w:rtl/>
        </w:rPr>
        <w:lastRenderedPageBreak/>
        <w:t xml:space="preserve">רחצה), לבישה, האכלה, ניידות, השגחה) הן פעולות הדרושות לשמירה על בריאותו של נפגע עבודה ולמניעת מחלות והידרדרות במצבו הרפואי של נפגע עבודה; נפגע עבודה המאושפז במוסד זכאי על פי החוק למימון </w:t>
      </w:r>
      <w:r>
        <w:rPr>
          <w:rFonts w:ascii="David" w:hAnsi="David"/>
          <w:b/>
          <w:bCs/>
          <w:sz w:val="28"/>
          <w:szCs w:val="28"/>
          <w:rtl/>
        </w:rPr>
        <w:t>כלל הפעולות</w:t>
      </w:r>
      <w:r>
        <w:rPr>
          <w:rFonts w:ascii="David" w:hAnsi="David"/>
          <w:sz w:val="28"/>
          <w:szCs w:val="28"/>
          <w:rtl/>
        </w:rPr>
        <w:t xml:space="preserve"> הנדרשות במסגרת הטיפול המוענק לו, הן פעולות  רפואיות, כגון מתן תרופות והן פעולות כלליות – רחצה, האכלה וכו'; אין בסיס לאבחנה בין נפגע עבודה שמקבל את הטיפול הסיעודי בביתו לבין נפגע עבודה שמקבל את הטיפול הסיעודי במוסד, כך שנפגע עבודה שמקבל טיפול סיעודי בביתו יופלה לרעה; מקור הקביעה כי חבות המוסד והקופה, שבאמצעותה מספק המוסד את הטיפול הסיעודי, הוא 8 שעות ביום, דהיינו שליש מהיממה, מקורו בפסיקה לא רלוונטית, מתחום דיני הנזיקין, שלפיה המזיק נושא בעלות שני שליש מהטיפול הסיעודי בניזוק ואילו קופת החולים והמוסד נושאים בשליש העלות שנותר. הפרקטיקה ה"נזיקית" דלעיל אינה הולמת את תכליותיו של משפט העבודה והביטחון הסוציאלי, ונעדרת בסיס חוקי בדיני הביטוח הלאומי. על יסוד כל האמור לעיל נטען כי נפגע עבודה סיעודי זכאי למימון טיפול סיעודי מקופת החולים, כזרועו הארוכה של המוסד לביטוח לאומי, בעד 24 שעות ביממה. </w:t>
      </w:r>
    </w:p>
    <w:p w:rsidR="006B7836" w:rsidRDefault="006B7836" w:rsidP="006B7836">
      <w:pPr>
        <w:numPr>
          <w:ilvl w:val="0"/>
          <w:numId w:val="1"/>
        </w:numPr>
        <w:spacing w:line="360" w:lineRule="auto"/>
        <w:ind w:left="283" w:hanging="425"/>
        <w:jc w:val="both"/>
        <w:rPr>
          <w:rFonts w:ascii="David" w:hAnsi="David"/>
          <w:b/>
          <w:bCs/>
          <w:sz w:val="28"/>
          <w:szCs w:val="28"/>
        </w:rPr>
      </w:pPr>
      <w:r>
        <w:rPr>
          <w:rFonts w:ascii="David" w:hAnsi="David"/>
          <w:b/>
          <w:bCs/>
          <w:sz w:val="28"/>
          <w:szCs w:val="28"/>
          <w:rtl/>
        </w:rPr>
        <w:t>בטיעונו בערעור</w:t>
      </w:r>
      <w:r>
        <w:rPr>
          <w:rFonts w:ascii="David" w:hAnsi="David"/>
          <w:sz w:val="28"/>
          <w:szCs w:val="28"/>
          <w:rtl/>
        </w:rPr>
        <w:t xml:space="preserve">, בשונה מהטיעון בבית הדין האזורי, </w:t>
      </w:r>
      <w:r>
        <w:rPr>
          <w:rFonts w:ascii="David" w:hAnsi="David"/>
          <w:b/>
          <w:bCs/>
          <w:sz w:val="28"/>
          <w:szCs w:val="28"/>
          <w:rtl/>
        </w:rPr>
        <w:t>התמקד מר בגו</w:t>
      </w:r>
      <w:r>
        <w:rPr>
          <w:rFonts w:ascii="David" w:hAnsi="David"/>
          <w:sz w:val="28"/>
          <w:szCs w:val="28"/>
          <w:rtl/>
        </w:rPr>
        <w:t xml:space="preserve"> בתחשיב התשלום בעד טיפול סיעודי בעד 8 שעות ביום, והבהיר כי מקובל עליו שהקביעה כי על קופת החולים לממן רק אותו חלק מהטיפול הביתי המהווה טיפול </w:t>
      </w:r>
      <w:r>
        <w:rPr>
          <w:rFonts w:ascii="David" w:hAnsi="David"/>
          <w:b/>
          <w:bCs/>
          <w:sz w:val="28"/>
          <w:szCs w:val="28"/>
          <w:rtl/>
        </w:rPr>
        <w:t xml:space="preserve">סיעודי רפואי, </w:t>
      </w:r>
      <w:r>
        <w:rPr>
          <w:rFonts w:ascii="David" w:hAnsi="David"/>
          <w:sz w:val="28"/>
          <w:szCs w:val="28"/>
          <w:rtl/>
        </w:rPr>
        <w:t xml:space="preserve">והעמדת התקרה למימון הטיפול הביתי על שמונה שעות בלבד – אינה בלתי סבירה, ועולה בקנה אחד עם תכליתם ומהותם של ההסכמים.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b/>
          <w:bCs/>
          <w:sz w:val="28"/>
          <w:szCs w:val="28"/>
          <w:rtl/>
        </w:rPr>
        <w:t>המוסד תמך</w:t>
      </w:r>
      <w:r>
        <w:rPr>
          <w:rFonts w:ascii="David" w:hAnsi="David"/>
          <w:sz w:val="28"/>
          <w:szCs w:val="28"/>
          <w:rtl/>
        </w:rPr>
        <w:t xml:space="preserve"> בטענות קופות חולים, שלפיהן ההסכמים שנחתמו בין המוסד לבין הקופות מכוח סעיף 91 לחוק, עניינם "מתן </w:t>
      </w:r>
      <w:r>
        <w:rPr>
          <w:rFonts w:ascii="David" w:hAnsi="David"/>
          <w:b/>
          <w:bCs/>
          <w:sz w:val="28"/>
          <w:szCs w:val="28"/>
          <w:rtl/>
        </w:rPr>
        <w:t>טיפול רפואי</w:t>
      </w:r>
      <w:r>
        <w:rPr>
          <w:rFonts w:ascii="David" w:hAnsi="David"/>
          <w:sz w:val="28"/>
          <w:szCs w:val="28"/>
          <w:rtl/>
        </w:rPr>
        <w:t xml:space="preserve"> לנפגעי עבודה", והקופה מחויבת רק במימון טיפול סיעודי רפואי, דהיינו טיפול סיעודי לצורך סיוע בצרכים רפואיים (כגון זונדה, סיוע בהחלפת חבישה, החלפת קטטר, החלפת בלוני חמצן, שינוי תנוחה למניעת פצעי לחץ וכו'), להבדיל מסיוע בביצוע פעולות יום יום, אשר אותו מממנת הקצבה המיוחדת, המשולמת לנפגע עבודה על פי סעיף 112 לחוק ותקנות קצבה מיוחדת. על כן, יש לדחות את הפרשנות הנטענת על ידי גב' נאמן, שלפיה אין הבדל בין פעולות שהן בבחינת טיפול סיעודי רפואי, ובין פעולות אחרות שבמסגרת הטיפול הסיעודי, בהיותן מעין רפואיות. פרשנות שכזו רחבה יתר על המידה ומרוקנת מתוכן את סעיף 112 לחוק ואת תקנות קצבה מיוחדת. </w:t>
      </w:r>
    </w:p>
    <w:p w:rsidR="006B7836" w:rsidRDefault="006B7836" w:rsidP="006B7836">
      <w:pPr>
        <w:numPr>
          <w:ilvl w:val="0"/>
          <w:numId w:val="1"/>
        </w:numPr>
        <w:spacing w:line="360" w:lineRule="auto"/>
        <w:ind w:left="283" w:hanging="425"/>
        <w:jc w:val="both"/>
        <w:rPr>
          <w:rFonts w:ascii="David" w:hAnsi="David"/>
          <w:sz w:val="28"/>
          <w:szCs w:val="28"/>
          <w:rtl/>
        </w:rPr>
      </w:pPr>
      <w:r>
        <w:rPr>
          <w:rFonts w:ascii="David" w:hAnsi="David"/>
          <w:b/>
          <w:bCs/>
          <w:sz w:val="28"/>
          <w:szCs w:val="28"/>
          <w:rtl/>
        </w:rPr>
        <w:lastRenderedPageBreak/>
        <w:t xml:space="preserve">לאומית טענה </w:t>
      </w:r>
      <w:r>
        <w:rPr>
          <w:rFonts w:ascii="David" w:hAnsi="David"/>
          <w:sz w:val="28"/>
          <w:szCs w:val="28"/>
          <w:rtl/>
        </w:rPr>
        <w:t>כי הפרשנות הנכונה שיש להעניק להסכם היא זו אשר לוקחת בחשבון את כוונות הצדדים להסכם, ואותן בלבד, ואין אפוא מקום לפרשנות אחרת של צדדים שלישיים, שאינם צד להסכם, העומדת בניגוד להתנהגות הצדדים לאורך שנים ארוכות; ההבחנה שערך בית הדין האזורי בין טיפול סיעודי ובין טיפול סיעודי רפואי, בדין יסודה.</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b/>
          <w:bCs/>
          <w:sz w:val="28"/>
          <w:szCs w:val="28"/>
          <w:rtl/>
        </w:rPr>
        <w:t xml:space="preserve">הכללית טענה </w:t>
      </w:r>
      <w:r>
        <w:rPr>
          <w:rFonts w:ascii="David" w:hAnsi="David"/>
          <w:sz w:val="28"/>
          <w:szCs w:val="28"/>
          <w:rtl/>
        </w:rPr>
        <w:t>כי גב' נאמן לא תמכה את טענתה כי אין אבחנה בין "</w:t>
      </w:r>
      <w:r>
        <w:rPr>
          <w:rFonts w:asciiTheme="minorHAnsi" w:hAnsiTheme="minorHAnsi"/>
          <w:sz w:val="28"/>
          <w:szCs w:val="28"/>
          <w:rtl/>
        </w:rPr>
        <w:t xml:space="preserve">טיפול סיעודי" לבין "טיפול סיעודי רפואי" בחוות דעת מומחה; האבחנה בין "טיפול סיעודי" לבין "טיפול סיעודי רפואי" היא האבחנה המקובלת על העוסקים בתחום, ובהסכם 2016 אף עוגנה בהוראות ההסכם; אשר להסתמכות על חוק זכויות החולה, הרי שאין בו קביעה בנוגע למימון אותן זכויות; הקצבה המיוחדת יחד עם השתתפות קופת החולים אמורה לממן את עלות העסקתו של העובד הסיעודי הזר. הקופה ציינה כי קופות החולים נוקטות בשיטת "בית הלל" ומאשרות את ההשתתפות המירבית – גם כאשר יש ספק אם היקף הסיוע הסיעודי הרפואי אכן מסתכם ב- 8 שעות.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b/>
          <w:bCs/>
          <w:sz w:val="28"/>
          <w:szCs w:val="28"/>
          <w:rtl/>
        </w:rPr>
        <w:t xml:space="preserve">מאוחדת טענה </w:t>
      </w:r>
      <w:r>
        <w:rPr>
          <w:rFonts w:ascii="David" w:hAnsi="David"/>
          <w:sz w:val="28"/>
          <w:szCs w:val="28"/>
          <w:rtl/>
        </w:rPr>
        <w:t xml:space="preserve">כי יש להבחין בין טיפול סיעודי כללי ובין טיפול סיעודי רפואי, וכי הבחנה זו מצויה כבר בהוראות החוק והתקנות, שמהן עולה בבירור כי הקצבה המיוחדת מיועדת למימון טיפול סיעודי כללי. משכך, טיפול סיעודי כללי [שאינו רפואי פר אקסלנס] מכוסה באמצעות הקצבה המיוחדת המעוגנת בסעיף 112 כאמור והתקנות שהותקנו מכוחו. ממילא, הזכויות הניתנות לנפגע העבודה שלא במסגרת תשלום הקצבה המיוחדת, קרי, מכוח ההסכם בין הקופה כנותנת שירותים לבין המוסד, על בסיס סעיף 91 לחוק, עניינן בטיפול סיעודי </w:t>
      </w:r>
      <w:r>
        <w:rPr>
          <w:rFonts w:ascii="David" w:hAnsi="David"/>
          <w:b/>
          <w:bCs/>
          <w:sz w:val="28"/>
          <w:szCs w:val="28"/>
          <w:rtl/>
        </w:rPr>
        <w:t>רפואי.</w:t>
      </w:r>
      <w:r>
        <w:rPr>
          <w:rFonts w:ascii="David" w:hAnsi="David"/>
          <w:sz w:val="28"/>
          <w:szCs w:val="28"/>
          <w:rtl/>
        </w:rPr>
        <w:t xml:space="preserve">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b/>
          <w:bCs/>
          <w:sz w:val="28"/>
          <w:szCs w:val="28"/>
          <w:rtl/>
        </w:rPr>
        <w:t>מכבי הבהירה</w:t>
      </w:r>
      <w:r>
        <w:rPr>
          <w:rFonts w:ascii="David" w:hAnsi="David"/>
          <w:sz w:val="28"/>
          <w:szCs w:val="28"/>
          <w:rtl/>
        </w:rPr>
        <w:t>, כי בהסכם 1990 לא עוגנה חובת הקופה לממן את הטיפול הסיעודי, וזו עוגנה לראשונה בהסכם 2003, רק ביחס לטיפול סיעודי רפואי, ובמקרים של 100% נכות מימון הקופה הוא עד לשליש מעלות העסקת עובד זר, מתוך הנחה כי העובד הזר מקדיש אך שליש ממשרתו לצרכים רפואיים (להבדיל מסיוע בפעולות היום יום). מכבי הבהירה כי הרציונל שבבסיס הנוהג האמור ברור, שכן לצורך מימון הסיוע בביצוע פעולות היום יום (שאינן רפואיות) קיימות הקצבאות האחרות שמעניק המוסד, ביניהן קצבת שירותים מיוחדים, וממילא ככל שתתקבל עמדת המערערים, יהא בכך כדי לייצר כפל גמלאות בניגוד להוראות החוק.</w:t>
      </w:r>
    </w:p>
    <w:p w:rsidR="006B7836" w:rsidRDefault="006B7836" w:rsidP="006B7836">
      <w:pPr>
        <w:numPr>
          <w:ilvl w:val="0"/>
          <w:numId w:val="1"/>
        </w:numPr>
        <w:spacing w:line="360" w:lineRule="auto"/>
        <w:ind w:left="283" w:hanging="425"/>
        <w:jc w:val="both"/>
        <w:rPr>
          <w:rFonts w:ascii="David" w:hAnsi="David"/>
          <w:b/>
          <w:bCs/>
          <w:sz w:val="28"/>
          <w:szCs w:val="28"/>
        </w:rPr>
      </w:pPr>
      <w:r>
        <w:rPr>
          <w:rFonts w:ascii="David" w:hAnsi="David"/>
          <w:b/>
          <w:bCs/>
          <w:sz w:val="28"/>
          <w:szCs w:val="28"/>
          <w:rtl/>
        </w:rPr>
        <w:t xml:space="preserve">לאחר בחינת טענות הצדדים וכלל חומר התיק, אנו סבורים כי דין טענתה של גב' נאמן שלפיה אין להבחין בין טיפול סיעודי כללי לבין טיפול סיעודי רפואי </w:t>
      </w:r>
      <w:r>
        <w:rPr>
          <w:rFonts w:ascii="David" w:hAnsi="David"/>
          <w:b/>
          <w:bCs/>
          <w:sz w:val="28"/>
          <w:szCs w:val="28"/>
          <w:rtl/>
        </w:rPr>
        <w:lastRenderedPageBreak/>
        <w:t>להידחות. לפיכך, הקופה חייבת במימון טיפול סיעודי רפואי בלבד, וכפועל יוצא מכך אינה חייבת במימון טיפול סיעודי במשך 24 שעות ביממה.</w:t>
      </w:r>
    </w:p>
    <w:p w:rsidR="006B7836" w:rsidRDefault="006B7836" w:rsidP="006B7836">
      <w:pPr>
        <w:numPr>
          <w:ilvl w:val="0"/>
          <w:numId w:val="1"/>
        </w:numPr>
        <w:spacing w:line="360" w:lineRule="auto"/>
        <w:ind w:left="283" w:hanging="425"/>
        <w:jc w:val="both"/>
        <w:rPr>
          <w:rFonts w:ascii="David" w:hAnsi="David"/>
          <w:b/>
          <w:bCs/>
          <w:sz w:val="28"/>
          <w:szCs w:val="28"/>
        </w:rPr>
      </w:pPr>
      <w:r>
        <w:rPr>
          <w:rFonts w:ascii="David" w:hAnsi="David"/>
          <w:sz w:val="28"/>
          <w:szCs w:val="28"/>
          <w:rtl/>
        </w:rPr>
        <w:t xml:space="preserve">כמובהר, נקודת המוצא לדיון היא הוראות החוק והתקנות, שכן הקופות מעניקות לנפגע עבודה את הגמלאות בעין - ריפוי, החלמה ושיקום רפואי – אותן המוסד חב ליתן לנפגע עבודה. יודגש, כי על פי הוראות הסכם 2003, התחייבו הקופות למתן שירותים רפואיים בהתאם להוראות ההסכם וכן על פי הוראות החוק והתקנות, </w:t>
      </w:r>
      <w:r>
        <w:rPr>
          <w:rFonts w:ascii="David" w:hAnsi="David"/>
          <w:b/>
          <w:bCs/>
          <w:sz w:val="28"/>
          <w:szCs w:val="28"/>
          <w:rtl/>
        </w:rPr>
        <w:t xml:space="preserve">"כפי שיפורשו על ידי בתי המשפט המוסמכים". </w:t>
      </w:r>
      <w:r>
        <w:rPr>
          <w:rFonts w:ascii="David" w:hAnsi="David"/>
          <w:sz w:val="28"/>
          <w:szCs w:val="28"/>
          <w:rtl/>
        </w:rPr>
        <w:t xml:space="preserve">נוכח האמור, הן מכוח החוק והתקנות והן מכוח הוראות הסכם 2003 יש לבחון אם טיפול סיעודי כללי הוא בגדר "ריפוי, החלמה או שיקום רפואי", שנפגע עבודה זכאי להם על פי החוק. נוכח התחייבות הקופות בהסכם 2003 למתן שירותים רפואיים </w:t>
      </w:r>
      <w:r>
        <w:rPr>
          <w:rFonts w:ascii="David" w:hAnsi="David"/>
          <w:b/>
          <w:bCs/>
          <w:sz w:val="28"/>
          <w:szCs w:val="28"/>
          <w:rtl/>
        </w:rPr>
        <w:t xml:space="preserve">על פי הוראות החוק והתקנות כפי שיפורשו על ידי בתי המשפט המוסמכים, </w:t>
      </w:r>
      <w:r>
        <w:rPr>
          <w:rFonts w:ascii="David" w:hAnsi="David"/>
          <w:sz w:val="28"/>
          <w:szCs w:val="28"/>
          <w:rtl/>
        </w:rPr>
        <w:t xml:space="preserve">כך שעל פי הוראות הסכם 2003 עצמו יש זהות בין זכויות נפגע עבודה לפי החוק והתקנות וזכויות נפגע עבודה לפי ההסכם, יש לדחות את טענת הקופות כי זכויות המערערים מוגבלות לזכויות על פי הסכם 2003 והנוהג בינן לבין המוסד, גם אם הן שונות מהזכויות המגיעות להם על פי החוק והתקנות. נוכח האמור, גם אין לנו צורך להידרש בהליך זה למצב שבו קיימת שונות בין הוראות החוק והתקנות לבין הוראות ההסכם בין המוסד לבין קופות החולים ולהשלכות שיש לכך. נבהיר, כי הבחינה בהליך זה מוגבלת למישור היחסים שבין נפגע עבודה לבין המוסד וקופות החולים, ואיננו מתייחסים למישור היחסים שבין המוסד לבין קופות החולים. </w:t>
      </w:r>
    </w:p>
    <w:p w:rsidR="006B7836" w:rsidRDefault="006B7836" w:rsidP="006B7836">
      <w:pPr>
        <w:spacing w:after="120" w:line="360" w:lineRule="auto"/>
        <w:ind w:left="284"/>
        <w:contextualSpacing/>
        <w:jc w:val="both"/>
        <w:rPr>
          <w:rFonts w:ascii="David" w:hAnsi="David"/>
          <w:sz w:val="28"/>
          <w:szCs w:val="28"/>
        </w:rPr>
      </w:pPr>
      <w:r>
        <w:rPr>
          <w:rFonts w:ascii="David" w:hAnsi="David"/>
          <w:sz w:val="28"/>
          <w:szCs w:val="28"/>
          <w:rtl/>
        </w:rPr>
        <w:t xml:space="preserve">יתר על כן. על פי סעיף 91 לחוק, ההסכמים בן הקופות לבין המוסד לביטוח לאומי טעונים אישור השר. ואכן, הן הסכם 2003 והן הסכם 2016 (שאיננו דנים בו) קיבלו את אישורו של שר הרווחה. לעומת זאת, מסמך הקווים המנחים גובש על פי האמור בו על ידי המוסד לביטוח לאומי והכללית, והוא גם נושא את חתימות מנכ"ל הכללית ומנכ"ל המוסד בלבד. לטעמנו, </w:t>
      </w:r>
      <w:r>
        <w:rPr>
          <w:rFonts w:ascii="David" w:hAnsi="David"/>
          <w:b/>
          <w:bCs/>
          <w:sz w:val="28"/>
          <w:szCs w:val="28"/>
          <w:rtl/>
        </w:rPr>
        <w:t>המוסד והקופות אינם רשאים, ללא אישור השר, לשנות את הוראות ההסכמים ביניהם שאושרו על ידי השר</w:t>
      </w:r>
      <w:r>
        <w:rPr>
          <w:rFonts w:ascii="David" w:hAnsi="David"/>
          <w:sz w:val="28"/>
          <w:szCs w:val="28"/>
          <w:rtl/>
        </w:rPr>
        <w:t xml:space="preserve">. זאת, להבדיל מקביעת הוראות ביצוע ליישום הסכם 2003, ככל שהן עולות בקנה אחד עם הוראות הסכם 2003, הזהות כאמור להוראות החוק והתקנות.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sz w:val="28"/>
          <w:szCs w:val="28"/>
          <w:rtl/>
        </w:rPr>
        <w:t>כאמור, בסעיף 86(א) לחוק נקבע כי ריפוי שלו זכאי נפגע עבודה משמעו "</w:t>
      </w:r>
      <w:r>
        <w:rPr>
          <w:rFonts w:ascii="David" w:hAnsi="David"/>
          <w:b/>
          <w:bCs/>
          <w:sz w:val="28"/>
          <w:szCs w:val="28"/>
          <w:rtl/>
        </w:rPr>
        <w:t>לרבות אשפוז, רפואות ומכשירים אורתופדיים ותירפויטיים, הספקתם, תיקונם או החלפתם</w:t>
      </w:r>
      <w:r>
        <w:rPr>
          <w:rFonts w:ascii="David" w:hAnsi="David"/>
          <w:sz w:val="28"/>
          <w:szCs w:val="28"/>
          <w:rtl/>
        </w:rPr>
        <w:t xml:space="preserve">". בתקנה 1 לתקנות טיפול רפואי נקבע כי </w:t>
      </w:r>
      <w:r>
        <w:rPr>
          <w:rFonts w:ascii="David" w:hAnsi="David"/>
          <w:b/>
          <w:bCs/>
          <w:sz w:val="28"/>
          <w:szCs w:val="28"/>
          <w:rtl/>
        </w:rPr>
        <w:t>"טיפול רפואי"</w:t>
      </w:r>
      <w:r>
        <w:rPr>
          <w:rFonts w:ascii="David" w:hAnsi="David"/>
          <w:sz w:val="28"/>
          <w:szCs w:val="28"/>
          <w:rtl/>
        </w:rPr>
        <w:t xml:space="preserve"> הוא - </w:t>
      </w:r>
    </w:p>
    <w:p w:rsidR="006B7836" w:rsidRDefault="006B7836" w:rsidP="006B7836">
      <w:pPr>
        <w:spacing w:after="120"/>
        <w:ind w:left="1134" w:right="1134"/>
        <w:contextualSpacing/>
        <w:jc w:val="both"/>
        <w:rPr>
          <w:rFonts w:ascii="David" w:hAnsi="David"/>
          <w:b/>
          <w:bCs/>
          <w:sz w:val="28"/>
          <w:szCs w:val="28"/>
          <w:rtl/>
        </w:rPr>
      </w:pPr>
      <w:r>
        <w:rPr>
          <w:rFonts w:ascii="David" w:hAnsi="David"/>
          <w:sz w:val="28"/>
          <w:szCs w:val="28"/>
          <w:rtl/>
        </w:rPr>
        <w:lastRenderedPageBreak/>
        <w:t>"</w:t>
      </w:r>
      <w:r>
        <w:rPr>
          <w:rFonts w:ascii="David" w:hAnsi="David"/>
          <w:b/>
          <w:bCs/>
          <w:sz w:val="28"/>
          <w:szCs w:val="28"/>
          <w:rtl/>
        </w:rPr>
        <w:t>'טיפול רפואי' - ריפוי, לרבות בדיקות מעבדה, ריפוי פיסיקלי, בדיקות וריפוי ברנטגן, ריפוי רדיום, כולל ריפוי באיזוטופים ובחמרים דומים, בדיקות רופאים מקצועיים, טיפול פסיכואנליטי ופסיכותרפויטי, אשפוז, תרופות, החלמה, שיקום רפואי, אספקת מכשירים אורתופדיים ותירפויטים כולל פרותזות מסוגים שונים, שיניים תותבות, מכשירי שמיעה, משקפיים, נעליים אורתופדיות ואבזרים אישיים אחרים שאושרו על ידי רופא השירות</w:t>
      </w:r>
      <w:r>
        <w:rPr>
          <w:rFonts w:ascii="David" w:hAnsi="David"/>
          <w:sz w:val="28"/>
          <w:szCs w:val="28"/>
          <w:rtl/>
        </w:rPr>
        <w:t>"</w:t>
      </w:r>
      <w:r>
        <w:rPr>
          <w:rFonts w:ascii="David" w:hAnsi="David"/>
          <w:b/>
          <w:bCs/>
          <w:sz w:val="28"/>
          <w:szCs w:val="28"/>
          <w:rtl/>
        </w:rPr>
        <w:t xml:space="preserve">.  </w:t>
      </w:r>
    </w:p>
    <w:p w:rsidR="006B7836" w:rsidRDefault="006B7836" w:rsidP="006B7836">
      <w:pPr>
        <w:spacing w:after="120"/>
        <w:ind w:left="1134" w:right="1134"/>
        <w:contextualSpacing/>
        <w:jc w:val="both"/>
        <w:rPr>
          <w:rFonts w:ascii="David" w:hAnsi="David"/>
          <w:b/>
          <w:bCs/>
          <w:sz w:val="28"/>
          <w:szCs w:val="28"/>
          <w:rtl/>
        </w:rPr>
      </w:pPr>
    </w:p>
    <w:p w:rsidR="006B7836" w:rsidRDefault="006B7836" w:rsidP="006B7836">
      <w:pPr>
        <w:spacing w:after="120" w:line="360" w:lineRule="auto"/>
        <w:ind w:left="284"/>
        <w:contextualSpacing/>
        <w:jc w:val="both"/>
        <w:rPr>
          <w:rFonts w:ascii="David" w:hAnsi="David"/>
          <w:sz w:val="28"/>
          <w:szCs w:val="28"/>
          <w:rtl/>
        </w:rPr>
      </w:pPr>
      <w:r>
        <w:rPr>
          <w:rFonts w:ascii="David" w:hAnsi="David"/>
          <w:sz w:val="28"/>
          <w:szCs w:val="28"/>
          <w:rtl/>
        </w:rPr>
        <w:t xml:space="preserve">נציין, כי בחוק ובתקנות הוגדרו "ריפוי" בלבד, ולא הוגדרו "החלמה" ו"שיקום רפואי".  </w:t>
      </w:r>
    </w:p>
    <w:p w:rsidR="006B7836" w:rsidRDefault="006B7836" w:rsidP="006B7836">
      <w:pPr>
        <w:numPr>
          <w:ilvl w:val="0"/>
          <w:numId w:val="1"/>
        </w:numPr>
        <w:spacing w:line="360" w:lineRule="auto"/>
        <w:ind w:left="283" w:hanging="425"/>
        <w:jc w:val="both"/>
        <w:rPr>
          <w:rFonts w:ascii="David" w:hAnsi="David"/>
          <w:b/>
          <w:bCs/>
          <w:sz w:val="28"/>
          <w:szCs w:val="28"/>
        </w:rPr>
      </w:pPr>
      <w:r>
        <w:rPr>
          <w:rFonts w:ascii="David" w:hAnsi="David"/>
          <w:sz w:val="28"/>
          <w:szCs w:val="28"/>
          <w:rtl/>
        </w:rPr>
        <w:t xml:space="preserve">בעניין </w:t>
      </w:r>
      <w:r>
        <w:rPr>
          <w:rFonts w:ascii="David" w:hAnsi="David"/>
          <w:b/>
          <w:bCs/>
          <w:sz w:val="28"/>
          <w:szCs w:val="28"/>
          <w:rtl/>
        </w:rPr>
        <w:t>עורקבי,</w:t>
      </w:r>
      <w:r>
        <w:rPr>
          <w:rFonts w:ascii="David" w:hAnsi="David"/>
          <w:sz w:val="28"/>
          <w:szCs w:val="28"/>
          <w:rtl/>
        </w:rPr>
        <w:t xml:space="preserve"> קבע בית הדין הארצי כי השימוש במילה "לרבות" בחוק ובתקנות מצביעים על כוונה </w:t>
      </w:r>
      <w:r>
        <w:rPr>
          <w:rFonts w:ascii="David" w:hAnsi="David"/>
          <w:b/>
          <w:bCs/>
          <w:sz w:val="28"/>
          <w:szCs w:val="28"/>
          <w:rtl/>
        </w:rPr>
        <w:t>להרחיב</w:t>
      </w:r>
      <w:r>
        <w:rPr>
          <w:rFonts w:ascii="David" w:hAnsi="David"/>
          <w:sz w:val="28"/>
          <w:szCs w:val="28"/>
          <w:rtl/>
        </w:rPr>
        <w:t xml:space="preserve"> את יריעת המונח </w:t>
      </w:r>
      <w:r>
        <w:rPr>
          <w:rFonts w:ascii="David" w:hAnsi="David"/>
          <w:b/>
          <w:bCs/>
          <w:sz w:val="28"/>
          <w:szCs w:val="28"/>
          <w:rtl/>
        </w:rPr>
        <w:t>"ריפוי"</w:t>
      </w:r>
      <w:r>
        <w:rPr>
          <w:rFonts w:ascii="David" w:hAnsi="David"/>
          <w:sz w:val="28"/>
          <w:szCs w:val="28"/>
          <w:rtl/>
        </w:rPr>
        <w:t xml:space="preserve"> ככולל סוגים שונים של טיפולים, ואין מדובר ברשימה סגורה. כפועל יוצא מכך, יש לבחון את </w:t>
      </w:r>
      <w:r>
        <w:rPr>
          <w:rFonts w:ascii="David" w:hAnsi="David"/>
          <w:b/>
          <w:bCs/>
          <w:sz w:val="28"/>
          <w:szCs w:val="28"/>
          <w:rtl/>
        </w:rPr>
        <w:t>"</w:t>
      </w:r>
      <w:r>
        <w:rPr>
          <w:rFonts w:ascii="David" w:hAnsi="David"/>
          <w:b/>
          <w:bCs/>
          <w:sz w:val="28"/>
          <w:szCs w:val="28"/>
          <w:u w:val="single"/>
          <w:rtl/>
        </w:rPr>
        <w:t>הפרשנות התכליתית האובייקטיבית שתינתן למונחים 'טיפול רפואי' ו'ריפוי'</w:t>
      </w:r>
      <w:r>
        <w:rPr>
          <w:rFonts w:ascii="David" w:hAnsi="David"/>
          <w:b/>
          <w:bCs/>
          <w:sz w:val="28"/>
          <w:szCs w:val="28"/>
          <w:rtl/>
        </w:rPr>
        <w:t xml:space="preserve"> בהוראות החוק והתקנות בכל הנוגע לזכאותו של נפגע בעובדה לגמלאות בעין". </w:t>
      </w:r>
      <w:r>
        <w:rPr>
          <w:rFonts w:ascii="David" w:hAnsi="David"/>
          <w:sz w:val="28"/>
          <w:szCs w:val="28"/>
          <w:rtl/>
        </w:rPr>
        <w:t xml:space="preserve">בעניין </w:t>
      </w:r>
      <w:r>
        <w:rPr>
          <w:rFonts w:ascii="David" w:hAnsi="David"/>
          <w:b/>
          <w:bCs/>
          <w:sz w:val="28"/>
          <w:szCs w:val="28"/>
          <w:rtl/>
        </w:rPr>
        <w:t>עורקבי,</w:t>
      </w:r>
      <w:r>
        <w:rPr>
          <w:rFonts w:ascii="David" w:hAnsi="David"/>
          <w:sz w:val="28"/>
          <w:szCs w:val="28"/>
          <w:rtl/>
        </w:rPr>
        <w:t xml:space="preserve"> שבו נדונה זכותו של נפגע עבודה לטיפולים מתחום הרפואה המשלימה, נפסק כי </w:t>
      </w:r>
      <w:r>
        <w:rPr>
          <w:rFonts w:ascii="David" w:hAnsi="David"/>
          <w:b/>
          <w:bCs/>
          <w:sz w:val="28"/>
          <w:szCs w:val="28"/>
          <w:rtl/>
        </w:rPr>
        <w:t xml:space="preserve">"טיפול רפואי על פי טיבו ומטרתו נועד 'להתגבר על המחלה המסוימת, לרפאה ולהשיב לאדם החולה, ככל שניתן, את יכולתו לחזור ולתפקד כמקובל אצל בני האדם כתפקוד תקין ... </w:t>
      </w:r>
      <w:r>
        <w:rPr>
          <w:rFonts w:ascii="David" w:hAnsi="David"/>
          <w:b/>
          <w:bCs/>
          <w:sz w:val="28"/>
          <w:szCs w:val="28"/>
          <w:u w:val="single"/>
          <w:rtl/>
        </w:rPr>
        <w:t>ה'ריפוי' הוא הדרך להחזיר את המערכת לתיפקוד תקין</w:t>
      </w:r>
      <w:r>
        <w:rPr>
          <w:rFonts w:ascii="David" w:hAnsi="David"/>
          <w:b/>
          <w:bCs/>
          <w:sz w:val="28"/>
          <w:szCs w:val="28"/>
          <w:rtl/>
        </w:rPr>
        <w:t>, או לחלופין כשהדבר אינו ניתן, הדרך להתגבר על הפגיעה ולמלא את החסר"</w:t>
      </w:r>
      <w:r>
        <w:rPr>
          <w:rFonts w:ascii="David" w:hAnsi="David"/>
          <w:sz w:val="28"/>
          <w:szCs w:val="28"/>
          <w:rtl/>
        </w:rPr>
        <w:t xml:space="preserve">. עוד נפסק כי בבחינת הפרשנות התכליתית של המונחים "טיפול רפואי" ו"ריפוי" יש ליתן משקל ל- </w:t>
      </w:r>
      <w:r>
        <w:rPr>
          <w:rFonts w:asciiTheme="minorHAnsi" w:hAnsiTheme="minorHAnsi"/>
          <w:sz w:val="28"/>
          <w:szCs w:val="28"/>
        </w:rPr>
        <w:t>ratio legis</w:t>
      </w:r>
      <w:r>
        <w:rPr>
          <w:rFonts w:asciiTheme="minorHAnsi" w:hAnsiTheme="minorHAnsi"/>
          <w:sz w:val="28"/>
          <w:szCs w:val="28"/>
          <w:rtl/>
        </w:rPr>
        <w:t xml:space="preserve"> </w:t>
      </w:r>
      <w:r>
        <w:rPr>
          <w:rFonts w:asciiTheme="minorHAnsi" w:hAnsiTheme="minorHAnsi" w:hint="cs"/>
          <w:sz w:val="28"/>
          <w:szCs w:val="28"/>
          <w:rtl/>
        </w:rPr>
        <w:t>שביסוד הזכות לגמלאות בעין, הסב על הזכות לטיפול הרפואי הנדרש והחיוני לתפקודו התקין של נפגע עבודה, וחזרתו המהירה למעגל העבודה, תוך הסתייעות בענפי הרפואה ובמקצועות הבריאות השונים. כמו כן נפסק כי בפרשנות המונחים "טיפול רפואי" ו"ריפוי" יש ליתן משקל הולם לאופיה הדינאמי של הפרשנות התכליתית, ובהתאם יש ליתן לשירותי הבריאות המנויים בהסכם, בחוק ובתקנות פרשנות גמישה ודינאמית, בשים לב לכך ש</w:t>
      </w:r>
      <w:r>
        <w:rPr>
          <w:rFonts w:asciiTheme="minorHAnsi" w:hAnsiTheme="minorHAnsi" w:hint="cs"/>
          <w:b/>
          <w:bCs/>
          <w:sz w:val="28"/>
          <w:szCs w:val="28"/>
          <w:rtl/>
        </w:rPr>
        <w:t xml:space="preserve">"מגוון הטיפולים הרפואיים הולך ומשתנה עם התפתחות הרפואה ומתפרס לתחומים שונים, כך שיכול שטיפולים </w:t>
      </w:r>
      <w:r>
        <w:rPr>
          <w:rFonts w:ascii="David" w:hAnsi="David"/>
          <w:b/>
          <w:bCs/>
          <w:sz w:val="28"/>
          <w:szCs w:val="28"/>
          <w:rtl/>
        </w:rPr>
        <w:t>שלא נחשבו בעבר רפואיים ייחשבו ככאלה"</w:t>
      </w:r>
      <w:r>
        <w:rPr>
          <w:rFonts w:ascii="David" w:hAnsi="David"/>
          <w:sz w:val="28"/>
          <w:szCs w:val="28"/>
          <w:rtl/>
        </w:rPr>
        <w:t xml:space="preserve">, אך עם זאת </w:t>
      </w:r>
      <w:r>
        <w:rPr>
          <w:rFonts w:ascii="David" w:hAnsi="David"/>
          <w:b/>
          <w:bCs/>
          <w:sz w:val="28"/>
          <w:szCs w:val="28"/>
          <w:rtl/>
        </w:rPr>
        <w:t>"לא כל טיפול הניתן לנפגע הוא טיפול רפואי"</w:t>
      </w:r>
      <w:r>
        <w:rPr>
          <w:rFonts w:ascii="David" w:hAnsi="David"/>
          <w:sz w:val="28"/>
          <w:szCs w:val="28"/>
          <w:rtl/>
        </w:rPr>
        <w:t xml:space="preserve">. בעניין </w:t>
      </w:r>
      <w:r>
        <w:rPr>
          <w:rFonts w:ascii="David" w:hAnsi="David"/>
          <w:b/>
          <w:bCs/>
          <w:sz w:val="28"/>
          <w:szCs w:val="28"/>
          <w:rtl/>
        </w:rPr>
        <w:t xml:space="preserve">עורקבי </w:t>
      </w:r>
      <w:r>
        <w:rPr>
          <w:rFonts w:ascii="David" w:hAnsi="David"/>
          <w:sz w:val="28"/>
          <w:szCs w:val="28"/>
          <w:rtl/>
        </w:rPr>
        <w:t xml:space="preserve">נקבע כי בהתאמה לשינוי העתים במסגרת הפרשנות התכליתית, יש לראות במונחים "ריפוי" ו"טיפול רפואי" ככוללים טיפולים מתחום ענפי הרפואה </w:t>
      </w:r>
      <w:r>
        <w:rPr>
          <w:rFonts w:ascii="David" w:hAnsi="David"/>
          <w:sz w:val="28"/>
          <w:szCs w:val="28"/>
          <w:rtl/>
        </w:rPr>
        <w:lastRenderedPageBreak/>
        <w:t xml:space="preserve">המשלימה, נוכח המגמה בחקיקה המרחיבה הכרתה בתחומי הרפואה המשלימה ונוכח </w:t>
      </w:r>
      <w:r>
        <w:rPr>
          <w:rFonts w:ascii="David" w:hAnsi="David"/>
          <w:b/>
          <w:bCs/>
          <w:sz w:val="28"/>
          <w:szCs w:val="28"/>
          <w:rtl/>
        </w:rPr>
        <w:t>"מגמת ההתרחבות המסתמנת בהכרה המקצועית הלגיטימית בענפי הרפואה המשלימה"</w:t>
      </w:r>
      <w:r>
        <w:rPr>
          <w:rFonts w:ascii="David" w:hAnsi="David"/>
          <w:sz w:val="28"/>
          <w:szCs w:val="28"/>
          <w:rtl/>
        </w:rPr>
        <w:t>.</w:t>
      </w:r>
    </w:p>
    <w:p w:rsidR="006B7836" w:rsidRDefault="006B7836" w:rsidP="006B7836">
      <w:pPr>
        <w:numPr>
          <w:ilvl w:val="0"/>
          <w:numId w:val="1"/>
        </w:numPr>
        <w:spacing w:line="360" w:lineRule="auto"/>
        <w:ind w:left="283" w:hanging="425"/>
        <w:jc w:val="both"/>
        <w:rPr>
          <w:rFonts w:ascii="David" w:hAnsi="David"/>
          <w:b/>
          <w:bCs/>
          <w:sz w:val="28"/>
          <w:szCs w:val="28"/>
        </w:rPr>
      </w:pPr>
      <w:r>
        <w:rPr>
          <w:rFonts w:ascii="David" w:hAnsi="David"/>
          <w:sz w:val="28"/>
          <w:szCs w:val="28"/>
          <w:rtl/>
        </w:rPr>
        <w:t xml:space="preserve">ובענייננו: אנו סבורים כי לא ניתן לפרש את הביטויים "טיפול רפואי" ו"ריפוי" בחוק ובתקנות טיפול רפואי ככוללים גם טיפול סיעודי כללי, דהיינו סיוע בפעולות היום יום שנפגע עבודה נזקק לו עקב הפגיעה בעבודה. אכן, לצורך שמירה על בריאותו של נפגע עבודה נכה נדרש כי יינתן לו טיפול סיעודי בהיבטים של שמירה על היגיינה, תזונה, הלבשה וכו', והזנחה בהיבטים אלה עלולה לגרום להתדרדרות במצבו הרפואי של נפגע העבודה. אולם, אין די בכך כדי להגדיר את הסיוע בפעולות היום יום שנפגע עבודה אינו יכול לבצע בעצמו בשל הנכות כתוצאה מהפגיעה בעבודה כטיפול רפואי בפגיעה בעבודה. יש שוני מהותי בין סיוע בפעולות היום יום לבין טיפול בבעיות רפואיות הנובעות מהפגיעה המצריכות טיפול סיעודי רפואי כגון החלפת קטטר, טיפול בפצעים, מתן עירויים וזריקות  וכיו"ב. גם אם לא ניתן לשרטט קו גבול ברור - ככלל טיפול סיעודי שעניינו סיוע בביצוע פעולות היום יום כהגדרתן בתקנות קצבה מיוחדת אינו בגדר טיפול רפואי. </w:t>
      </w:r>
    </w:p>
    <w:p w:rsidR="006B7836" w:rsidRDefault="006B7836" w:rsidP="006B7836">
      <w:pPr>
        <w:numPr>
          <w:ilvl w:val="0"/>
          <w:numId w:val="1"/>
        </w:numPr>
        <w:spacing w:line="360" w:lineRule="auto"/>
        <w:ind w:left="283" w:hanging="425"/>
        <w:jc w:val="both"/>
        <w:rPr>
          <w:rFonts w:ascii="David" w:hAnsi="David"/>
          <w:b/>
          <w:bCs/>
          <w:sz w:val="28"/>
          <w:szCs w:val="28"/>
        </w:rPr>
      </w:pPr>
      <w:r>
        <w:rPr>
          <w:rFonts w:ascii="David" w:hAnsi="David"/>
          <w:sz w:val="28"/>
          <w:szCs w:val="28"/>
          <w:rtl/>
        </w:rPr>
        <w:t xml:space="preserve">תמיכה במסקנה כי טיפול סיעודי כללי אינו בגדר "טיפול רפואי" יש בכך שנקבעה בתקנות זכאות לקצבה מיוחדת, בנוסף לכל קצבה אחרת, לנפגעי עבודה שדרגת נכותם גבוהה, שכאמור תכליתה העיקרית היא מימון טיפול סיעודי לנפגע עבודה. ככל שמתן טיפול סיעודי כללי היה חלק מהטיפול הרפואי לו זכאי נפגע עבודה על פי החוק והתקנות, לא היה צורך בהוראת סעיף 112 לחוק ותקנות קצבה מיוחדת, הקובעות זכאות לקצבה המיוחדת.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b/>
          <w:bCs/>
          <w:sz w:val="28"/>
          <w:szCs w:val="28"/>
          <w:rtl/>
        </w:rPr>
        <w:t>אשר להיקף הטיפול הסיעודי הרפואי</w:t>
      </w:r>
      <w:r>
        <w:rPr>
          <w:rFonts w:ascii="David" w:hAnsi="David"/>
          <w:sz w:val="28"/>
          <w:szCs w:val="28"/>
          <w:rtl/>
        </w:rPr>
        <w:t xml:space="preserve">: כפי שנפסק בעניין </w:t>
      </w:r>
      <w:r>
        <w:rPr>
          <w:rFonts w:ascii="David" w:hAnsi="David"/>
          <w:b/>
          <w:bCs/>
          <w:sz w:val="28"/>
          <w:szCs w:val="28"/>
          <w:rtl/>
        </w:rPr>
        <w:t>עורקבי</w:t>
      </w:r>
      <w:r>
        <w:rPr>
          <w:rFonts w:ascii="David" w:hAnsi="David"/>
          <w:sz w:val="28"/>
          <w:szCs w:val="28"/>
          <w:rtl/>
        </w:rPr>
        <w:t xml:space="preserve">, יוסד בתקנות טיפול רפואי "מנגנון רפואי" לצורך קביעת "היקפו ודרכו" של הטיפול הרפואי לנפגע עבודה בכל מקרה ומקרה. ככלל, נפגע עבודה זכאי לטיפול רפואי על פי קביעת הרופא המטפל מטעם קופת חולים בה הוא חבר, וטיפולים רפואיים מסוימים טעונים אישורו של "רופא השירות". ככל שיש חילוקי דעות בין הקופה לבין המוסד או בין נפגע העבודה לבין הקופה ו/או המוסד, יש להפעיל את המנגנון שנקבע בתקנות טיפול רפואי – מינוי רופא שלישי מכריע שהחלטתו מחייבת את המוסד וקופת החולים; נפגע העבודה רשאי לעתור לבית הדין לעבודה על דחיית תביעתו לטיפול רפואי (ראו בהרחבה עניין </w:t>
      </w:r>
      <w:r>
        <w:rPr>
          <w:rFonts w:ascii="David" w:hAnsi="David"/>
          <w:b/>
          <w:bCs/>
          <w:sz w:val="28"/>
          <w:szCs w:val="28"/>
          <w:rtl/>
        </w:rPr>
        <w:t>עורקבי</w:t>
      </w:r>
      <w:r>
        <w:rPr>
          <w:rFonts w:ascii="David" w:hAnsi="David"/>
          <w:sz w:val="28"/>
          <w:szCs w:val="28"/>
          <w:rtl/>
        </w:rPr>
        <w:t xml:space="preserve">; עניין </w:t>
      </w:r>
      <w:r>
        <w:rPr>
          <w:rFonts w:ascii="David" w:hAnsi="David"/>
          <w:b/>
          <w:bCs/>
          <w:sz w:val="28"/>
          <w:szCs w:val="28"/>
          <w:rtl/>
        </w:rPr>
        <w:t>גפן</w:t>
      </w:r>
      <w:r>
        <w:rPr>
          <w:rFonts w:ascii="David" w:hAnsi="David"/>
          <w:sz w:val="28"/>
          <w:szCs w:val="28"/>
          <w:rtl/>
        </w:rPr>
        <w:t xml:space="preserve">). </w:t>
      </w:r>
      <w:r>
        <w:rPr>
          <w:rFonts w:ascii="David" w:hAnsi="David"/>
          <w:b/>
          <w:bCs/>
          <w:sz w:val="28"/>
          <w:szCs w:val="28"/>
          <w:rtl/>
        </w:rPr>
        <w:t xml:space="preserve">משטיפול רפואי סיעודי הוא בגדר "טיפול רפואי" על פי החוק והתקנות, חל גם עליו "המנגנון </w:t>
      </w:r>
      <w:r>
        <w:rPr>
          <w:rFonts w:ascii="David" w:hAnsi="David"/>
          <w:b/>
          <w:bCs/>
          <w:sz w:val="28"/>
          <w:szCs w:val="28"/>
          <w:rtl/>
        </w:rPr>
        <w:lastRenderedPageBreak/>
        <w:t>הרפואי" שנקבע בתקנות טיפול רפואי, ויש לקבוע בכל מקרה את היקף הטיפול הסיעודי הרפואי לו זכאי נפגע עבודה.</w:t>
      </w:r>
      <w:r>
        <w:rPr>
          <w:rFonts w:ascii="David" w:hAnsi="David"/>
          <w:sz w:val="28"/>
          <w:szCs w:val="28"/>
          <w:rtl/>
        </w:rPr>
        <w:t xml:space="preserve"> ניתן לקבל כי </w:t>
      </w:r>
      <w:r>
        <w:rPr>
          <w:rFonts w:ascii="David" w:hAnsi="David"/>
          <w:b/>
          <w:bCs/>
          <w:sz w:val="28"/>
          <w:szCs w:val="28"/>
          <w:rtl/>
        </w:rPr>
        <w:t>ככלל</w:t>
      </w:r>
      <w:r>
        <w:rPr>
          <w:rFonts w:ascii="David" w:hAnsi="David"/>
          <w:sz w:val="28"/>
          <w:szCs w:val="28"/>
          <w:rtl/>
        </w:rPr>
        <w:t xml:space="preserve"> העמדת הזכאות על שמונה שעות ביום לנפגע עבודה שדרגת נכותו גבוהה היא סבירה, ויש יתרון משמעותי בקביעת אמת מידה אחידה החוסכת הליכים בירוקרטיים לנפגעי עבודה, ודאי אם כנטען על ידי הכללית בדרך כלל הצורך הרפואי הוא למספר קטן יותר משמונה שעות לטיפול סיעודי רפואי. יחד עם זאת, לא ניתן לקבוע בהסכם בין המוסד לבין קופת החולים (בענייננו "מסמך הקווים המנחים") או בנוהג ביניהם "תקרה" קשיחה לזכאות לטיפול סיעודי רפואי, ולשלול את זכותו של נפגע עבודה לטעון כי מצבו הרפואי מחייב מתן טיפול סיעודי רפואי בהיקף העולה על שמונה שעות. על כן, כפי שקבע בית הדין האזורי בעניין </w:t>
      </w:r>
      <w:r>
        <w:rPr>
          <w:rFonts w:ascii="David" w:hAnsi="David"/>
          <w:b/>
          <w:bCs/>
          <w:sz w:val="28"/>
          <w:szCs w:val="28"/>
          <w:rtl/>
        </w:rPr>
        <w:t>נאמן,</w:t>
      </w:r>
      <w:r>
        <w:rPr>
          <w:rFonts w:ascii="David" w:hAnsi="David"/>
          <w:sz w:val="28"/>
          <w:szCs w:val="28"/>
          <w:rtl/>
        </w:rPr>
        <w:t xml:space="preserve"> </w:t>
      </w:r>
      <w:r>
        <w:rPr>
          <w:rFonts w:ascii="David" w:hAnsi="David"/>
          <w:b/>
          <w:bCs/>
          <w:sz w:val="28"/>
          <w:szCs w:val="28"/>
          <w:rtl/>
        </w:rPr>
        <w:t>"באותם מקרים בהם יובאו ראיות שנכה זקוק לשירותים סיעודיים רפואיים, שהיקפם עולה על שליש מהסיעוד הכללי שלו הוא נזקק... יהא הנכה זכאי למימון מלוא הטיפול הסיעודי הרפואי,</w:t>
      </w:r>
      <w:r>
        <w:rPr>
          <w:rFonts w:ascii="David" w:hAnsi="David"/>
          <w:sz w:val="28"/>
          <w:szCs w:val="28"/>
          <w:rtl/>
        </w:rPr>
        <w:t xml:space="preserve">...".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b/>
          <w:bCs/>
          <w:sz w:val="28"/>
          <w:szCs w:val="28"/>
          <w:rtl/>
        </w:rPr>
        <w:t>כללו של דבר</w:t>
      </w:r>
      <w:r>
        <w:rPr>
          <w:rFonts w:ascii="David" w:hAnsi="David"/>
          <w:sz w:val="28"/>
          <w:szCs w:val="28"/>
          <w:rtl/>
        </w:rPr>
        <w:t xml:space="preserve">: על פי החוק ותקנות טיפול רפואי, קופות החולים חבות במימון טיפול סיעודי רפואי בלבד, ולא במימון טיפול סיעודי כללי. אין פגם בקביעת אמת מידה אחידה שלפיה נפגע עבודה בדרגת נכות גבוהה זכאי למימון שמונה שעות סיעוד רפואי, אולם לא ניתן לקבוע "תקרה" קשיחה לזכאות, ונפגע עבודה רשאי לתבוע מימון למספר שעות גדול יותר, ככל שיוכיח כי מצבו הרפואי מחייב מתן טיפול סיעודי רפואי בהיקף העולה על שמונה שעות. </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sz w:val="28"/>
          <w:szCs w:val="28"/>
          <w:rtl/>
        </w:rPr>
        <w:t xml:space="preserve">בעניין נאמן, קבע בית הדין האזורי כי עיקר עבודתו של המטפל הזר שהועסק על ידי המנוח הינו במתן סיוע למנוח בביצוע פעולות היומיום כדוגמת רחיצה, האכלה, הלבשה וכיו"ב, ועל כן לא הוכח שהמנוח זקוק לטיפול סיעודי רפואי בהיקף העולה על שליש מהיממה, דהיינו בהיקף העולה על 8 שעות. כאמור, מר בגו אינו טוען כי היה זכאי למימון טיפול סיעודי רפואי בהיקף העולה על 8 שעות. אשר על כן, בענייננו בשני הערעורים, לא מתעוררת שאלת זכאות נפגע העבודה להשתתפות במימון טיפול סיעודי רפואי בהיקף העולה על 8 שעות. </w:t>
      </w:r>
    </w:p>
    <w:p w:rsidR="006B7836" w:rsidRDefault="006B7836" w:rsidP="006B7836">
      <w:pPr>
        <w:spacing w:after="120" w:line="360" w:lineRule="auto"/>
        <w:ind w:right="-284"/>
        <w:jc w:val="both"/>
        <w:rPr>
          <w:rFonts w:ascii="David" w:hAnsi="David"/>
          <w:b/>
          <w:bCs/>
          <w:sz w:val="28"/>
          <w:szCs w:val="28"/>
        </w:rPr>
      </w:pPr>
    </w:p>
    <w:p w:rsidR="006B7836" w:rsidRDefault="006B7836" w:rsidP="006B7836">
      <w:pPr>
        <w:spacing w:after="120" w:line="360" w:lineRule="auto"/>
        <w:ind w:right="-284" w:firstLine="284"/>
        <w:jc w:val="both"/>
        <w:rPr>
          <w:rFonts w:ascii="David" w:hAnsi="David"/>
          <w:b/>
          <w:bCs/>
          <w:sz w:val="28"/>
          <w:szCs w:val="28"/>
          <w:rtl/>
        </w:rPr>
      </w:pPr>
      <w:r>
        <w:rPr>
          <w:rFonts w:ascii="David" w:hAnsi="David"/>
          <w:b/>
          <w:bCs/>
          <w:sz w:val="28"/>
          <w:szCs w:val="28"/>
          <w:rtl/>
        </w:rPr>
        <w:t>שיעור המימון לטיפול רפואי סיעודי:</w:t>
      </w:r>
    </w:p>
    <w:p w:rsidR="006B7836" w:rsidRDefault="006B7836" w:rsidP="006B7836">
      <w:pPr>
        <w:numPr>
          <w:ilvl w:val="0"/>
          <w:numId w:val="1"/>
        </w:numPr>
        <w:spacing w:line="360" w:lineRule="auto"/>
        <w:ind w:left="283" w:hanging="425"/>
        <w:jc w:val="both"/>
        <w:rPr>
          <w:rFonts w:ascii="David" w:hAnsi="David"/>
          <w:b/>
          <w:bCs/>
          <w:sz w:val="28"/>
          <w:szCs w:val="28"/>
        </w:rPr>
      </w:pPr>
      <w:r>
        <w:rPr>
          <w:rFonts w:ascii="David" w:hAnsi="David"/>
          <w:b/>
          <w:bCs/>
          <w:sz w:val="28"/>
          <w:szCs w:val="28"/>
          <w:rtl/>
        </w:rPr>
        <w:lastRenderedPageBreak/>
        <w:t xml:space="preserve"> </w:t>
      </w:r>
      <w:r>
        <w:rPr>
          <w:rFonts w:ascii="David" w:hAnsi="David"/>
          <w:sz w:val="28"/>
          <w:szCs w:val="28"/>
          <w:rtl/>
        </w:rPr>
        <w:t>המחלוקת העיקרית בין המערערים לבין קופות החולים והמוסד היא שיעור השתתפות הקופה במימון הטיפול סיעודי רפואי, גם אם, כטענת הקופות, נפגע עבודה זכאי למימון טיפול סיעודי בהיקף של 8 שעות ביום.</w:t>
      </w:r>
    </w:p>
    <w:p w:rsidR="006B7836" w:rsidRDefault="006B7836" w:rsidP="006B7836">
      <w:pPr>
        <w:numPr>
          <w:ilvl w:val="0"/>
          <w:numId w:val="1"/>
        </w:numPr>
        <w:spacing w:line="360" w:lineRule="auto"/>
        <w:ind w:left="283" w:hanging="425"/>
        <w:jc w:val="both"/>
        <w:rPr>
          <w:rFonts w:ascii="David" w:hAnsi="David"/>
          <w:sz w:val="28"/>
          <w:szCs w:val="28"/>
        </w:rPr>
      </w:pPr>
      <w:r>
        <w:rPr>
          <w:rFonts w:ascii="David" w:hAnsi="David"/>
          <w:sz w:val="28"/>
          <w:szCs w:val="28"/>
          <w:rtl/>
        </w:rPr>
        <w:t>סעיף 6 להסכם 2003 מסדיר מתן השירותים הרפואיים בביתו של נפגע העבודה (מוגדר שם כ"מקבל שירות"), כמפורט להלן:</w:t>
      </w:r>
    </w:p>
    <w:p w:rsidR="006B7836" w:rsidRDefault="006B7836" w:rsidP="006B7836">
      <w:pPr>
        <w:spacing w:after="120"/>
        <w:ind w:left="2160" w:right="567" w:hanging="743"/>
        <w:contextualSpacing/>
        <w:jc w:val="both"/>
        <w:rPr>
          <w:rFonts w:ascii="David" w:hAnsi="David"/>
          <w:b/>
          <w:bCs/>
          <w:sz w:val="28"/>
          <w:szCs w:val="28"/>
        </w:rPr>
      </w:pPr>
      <w:r>
        <w:rPr>
          <w:rFonts w:ascii="David" w:hAnsi="David"/>
          <w:b/>
          <w:bCs/>
          <w:sz w:val="28"/>
          <w:szCs w:val="28"/>
          <w:rtl/>
        </w:rPr>
        <w:t>"א.</w:t>
      </w:r>
      <w:r>
        <w:rPr>
          <w:rFonts w:ascii="David" w:hAnsi="David"/>
          <w:b/>
          <w:bCs/>
          <w:sz w:val="28"/>
          <w:szCs w:val="28"/>
          <w:rtl/>
        </w:rPr>
        <w:tab/>
        <w:t xml:space="preserve">היו הרופא המטפל במישרין במקבל השרות או המוסד, בדיעה שמקבל השירות זקוק לאשפוז ומקבל השירות ומשפחתו הסכימו לקבל השירותים הרפואיים שלא במסגרת אישפוז, מתחייבת בזה הקופה לשאת בהוצאות שיידרשו לשם ביצוע מתן השירותים הרפואיים בבית מקבל השירות, או בכל מקום בו ישהה מקבל השירות באותה עת, וזאת בכפוף לאמור בס"ק (ג) להלן; </w:t>
      </w:r>
    </w:p>
    <w:p w:rsidR="006B7836" w:rsidRDefault="006B7836" w:rsidP="006B7836">
      <w:pPr>
        <w:spacing w:after="120"/>
        <w:ind w:left="2160" w:right="567" w:hanging="720"/>
        <w:contextualSpacing/>
        <w:jc w:val="both"/>
        <w:rPr>
          <w:rFonts w:ascii="David" w:hAnsi="David"/>
          <w:b/>
          <w:bCs/>
          <w:sz w:val="28"/>
          <w:szCs w:val="28"/>
          <w:rtl/>
        </w:rPr>
      </w:pPr>
      <w:r>
        <w:rPr>
          <w:rFonts w:ascii="David" w:hAnsi="David"/>
          <w:b/>
          <w:bCs/>
          <w:sz w:val="28"/>
          <w:szCs w:val="28"/>
          <w:rtl/>
        </w:rPr>
        <w:t>ב.</w:t>
      </w:r>
      <w:r>
        <w:rPr>
          <w:rFonts w:ascii="David" w:hAnsi="David"/>
          <w:b/>
          <w:bCs/>
          <w:sz w:val="28"/>
          <w:szCs w:val="28"/>
          <w:rtl/>
        </w:rPr>
        <w:tab/>
        <w:t xml:space="preserve">היו הרופא המטפל במישרין במקבל השירות או המוסד בדיעה שמקבל השירות זקוק למתן שירותים רפואיים, שלא במסגרת אישפוז, מתחייבת בזה הקופה לשאת בכל ההוצאות שיידרשו לשם מתן השירותים הרפואיים בבית מקבל השירות או בכל מקום אחר בארץ בו ישהה מקבל השירות באותה עת, ובלבד שסכום זה לא יעלה על הסכום המקסימלי המשתלם עבור אשפוז במוסד רפואי המתאים למתן השירותים הרפואיים הדורשים למבוטח לפי קביעת הקופה. </w:t>
      </w:r>
    </w:p>
    <w:p w:rsidR="006B7836" w:rsidRDefault="006B7836" w:rsidP="006B7836">
      <w:pPr>
        <w:spacing w:after="120"/>
        <w:ind w:left="2160" w:right="567" w:hanging="720"/>
        <w:contextualSpacing/>
        <w:jc w:val="both"/>
        <w:rPr>
          <w:rFonts w:ascii="David" w:hAnsi="David"/>
          <w:b/>
          <w:bCs/>
          <w:sz w:val="28"/>
          <w:szCs w:val="28"/>
          <w:rtl/>
        </w:rPr>
      </w:pPr>
      <w:r>
        <w:rPr>
          <w:rFonts w:ascii="David" w:hAnsi="David"/>
          <w:b/>
          <w:bCs/>
          <w:sz w:val="28"/>
          <w:szCs w:val="28"/>
          <w:rtl/>
        </w:rPr>
        <w:t>ג.</w:t>
      </w:r>
      <w:r>
        <w:rPr>
          <w:rFonts w:ascii="David" w:hAnsi="David"/>
          <w:b/>
          <w:bCs/>
          <w:sz w:val="28"/>
          <w:szCs w:val="28"/>
          <w:rtl/>
        </w:rPr>
        <w:tab/>
        <w:t xml:space="preserve">הסכום שבו תישא הקופה לצורך ביצוע מתן השירותים הרפואיים כאמור בסעיף קטן (א) יהא בסכום ההוצאות הממשיות שיוצאו על ידי מקבל השירות כפי שייקבעו על ידי הקופה והמוסד, ובלבד שסכום זה לא יעלה על הסכום המקסימלי המשתלם עבור אישפוז במוסד רפואי המתאים למתן השירותים הרפואיים הדרושים למבוטח לפי קביעת הקופה". </w:t>
      </w:r>
    </w:p>
    <w:p w:rsidR="006B7836" w:rsidRDefault="006B7836" w:rsidP="006B7836">
      <w:pPr>
        <w:spacing w:after="120"/>
        <w:ind w:left="360" w:right="567"/>
        <w:contextualSpacing/>
        <w:jc w:val="both"/>
        <w:rPr>
          <w:rFonts w:ascii="David" w:hAnsi="David"/>
          <w:sz w:val="28"/>
          <w:szCs w:val="28"/>
          <w:rtl/>
        </w:rPr>
      </w:pPr>
    </w:p>
    <w:p w:rsidR="006B7836" w:rsidRDefault="006B7836" w:rsidP="006B7836">
      <w:pPr>
        <w:numPr>
          <w:ilvl w:val="0"/>
          <w:numId w:val="1"/>
        </w:numPr>
        <w:spacing w:after="120" w:line="360" w:lineRule="auto"/>
        <w:ind w:left="284" w:right="-284" w:hanging="426"/>
        <w:contextualSpacing/>
        <w:jc w:val="both"/>
        <w:rPr>
          <w:rFonts w:ascii="David" w:hAnsi="David"/>
          <w:b/>
          <w:bCs/>
          <w:sz w:val="28"/>
          <w:szCs w:val="28"/>
          <w:rtl/>
        </w:rPr>
      </w:pPr>
      <w:r>
        <w:rPr>
          <w:rFonts w:ascii="David" w:hAnsi="David"/>
          <w:sz w:val="28"/>
          <w:szCs w:val="28"/>
          <w:rtl/>
        </w:rPr>
        <w:t xml:space="preserve">במסמך הקווים המנחים, שכאמור נערך על ידי הכללית והמוסד לביטוח לאומי, נקבע (בסעיף 7(ב)(1)(א)) כי היחידה להמשך טיפול ומעקב במחוז תקבע את הצורך בשירותי סיעוד בבית החולה כולל קביעת מספר שעות הטיפול, וכי ניתן לאשר עד 8 שעות ביום טיפול בבית החולה, ובסעיף 7(ב)(1)(ב) נקבע כי </w:t>
      </w:r>
      <w:r>
        <w:rPr>
          <w:rFonts w:ascii="David" w:hAnsi="David"/>
          <w:b/>
          <w:bCs/>
          <w:sz w:val="28"/>
          <w:szCs w:val="28"/>
          <w:rtl/>
        </w:rPr>
        <w:t xml:space="preserve">"בכל מקרה לא יאושר טיפול בית לצורך 'עזרת הזולת' (ליווי אישי, ניקיון הבית, קניות, בישולים וכדומה)". </w:t>
      </w:r>
    </w:p>
    <w:p w:rsidR="006B7836" w:rsidRDefault="006B7836" w:rsidP="006B7836">
      <w:pPr>
        <w:spacing w:after="120" w:line="360" w:lineRule="auto"/>
        <w:ind w:left="284" w:right="-284"/>
        <w:contextualSpacing/>
        <w:jc w:val="both"/>
        <w:rPr>
          <w:rFonts w:ascii="David" w:hAnsi="David"/>
          <w:b/>
          <w:bCs/>
          <w:sz w:val="28"/>
          <w:szCs w:val="28"/>
        </w:rPr>
      </w:pPr>
      <w:r>
        <w:rPr>
          <w:rFonts w:ascii="David" w:hAnsi="David"/>
          <w:sz w:val="28"/>
          <w:szCs w:val="28"/>
          <w:rtl/>
        </w:rPr>
        <w:t>אשר לאופן מתן הטיפול הסיעודי הרפואי הביתי ולשיעור השתתפות הקופה במימון נקבע (בסעיף 7(ב)(1) כך:</w:t>
      </w:r>
    </w:p>
    <w:p w:rsidR="006B7836" w:rsidRDefault="006B7836" w:rsidP="006B7836">
      <w:pPr>
        <w:spacing w:after="120"/>
        <w:ind w:left="2160" w:right="567" w:hanging="885"/>
        <w:contextualSpacing/>
        <w:jc w:val="both"/>
        <w:rPr>
          <w:rFonts w:ascii="David" w:hAnsi="David"/>
          <w:b/>
          <w:bCs/>
          <w:sz w:val="28"/>
          <w:szCs w:val="28"/>
        </w:rPr>
      </w:pPr>
      <w:r>
        <w:rPr>
          <w:rFonts w:ascii="David" w:hAnsi="David"/>
          <w:b/>
          <w:bCs/>
          <w:sz w:val="28"/>
          <w:szCs w:val="28"/>
          <w:rtl/>
        </w:rPr>
        <w:t>"ג.</w:t>
      </w:r>
      <w:r>
        <w:rPr>
          <w:rFonts w:ascii="David" w:hAnsi="David"/>
          <w:b/>
          <w:bCs/>
          <w:sz w:val="28"/>
          <w:szCs w:val="28"/>
          <w:rtl/>
        </w:rPr>
        <w:tab/>
        <w:t xml:space="preserve">שירותי סיעוד יינתנו באמצעות חברה לשירותי סיעוד על פי רשימה המאושרת במחוז או באמצעות התקשרות ישירה של הנפגע עם גורם מטפל (חברה, עובד זר וכדומה); </w:t>
      </w:r>
    </w:p>
    <w:p w:rsidR="006B7836" w:rsidRDefault="006B7836" w:rsidP="006B7836">
      <w:pPr>
        <w:spacing w:after="120"/>
        <w:ind w:left="2160" w:right="567" w:hanging="885"/>
        <w:contextualSpacing/>
        <w:jc w:val="both"/>
        <w:rPr>
          <w:rFonts w:ascii="David" w:hAnsi="David"/>
          <w:b/>
          <w:bCs/>
          <w:sz w:val="28"/>
          <w:szCs w:val="28"/>
          <w:rtl/>
        </w:rPr>
      </w:pPr>
      <w:r>
        <w:rPr>
          <w:rFonts w:ascii="David" w:hAnsi="David"/>
          <w:b/>
          <w:bCs/>
          <w:sz w:val="28"/>
          <w:szCs w:val="28"/>
          <w:rtl/>
        </w:rPr>
        <w:lastRenderedPageBreak/>
        <w:t>ד.</w:t>
      </w:r>
      <w:r>
        <w:rPr>
          <w:rFonts w:ascii="David" w:hAnsi="David"/>
          <w:b/>
          <w:bCs/>
          <w:sz w:val="28"/>
          <w:szCs w:val="28"/>
          <w:rtl/>
        </w:rPr>
        <w:tab/>
        <w:t xml:space="preserve">במקרה שההתקשרות נעשית ע"י הכללית עם חברה לאספקת מטפלים התשלום יועבר ישירות לחברה ע"י המחוז. התשלום יועבר כנגד חשבונית מס, לפי מס' שעות הסיעוד שאושר לנפגע ולפי מחיר מקסימלי שמפורסם מעת לעת בחוזר מרוכז; </w:t>
      </w:r>
    </w:p>
    <w:p w:rsidR="006B7836" w:rsidRDefault="006B7836" w:rsidP="006B7836">
      <w:pPr>
        <w:spacing w:after="120"/>
        <w:ind w:left="2160" w:right="567" w:hanging="885"/>
        <w:contextualSpacing/>
        <w:jc w:val="both"/>
        <w:rPr>
          <w:rFonts w:ascii="David" w:hAnsi="David"/>
          <w:b/>
          <w:bCs/>
          <w:sz w:val="28"/>
          <w:szCs w:val="28"/>
          <w:rtl/>
        </w:rPr>
      </w:pPr>
      <w:r>
        <w:rPr>
          <w:rFonts w:ascii="David" w:hAnsi="David"/>
          <w:b/>
          <w:bCs/>
          <w:sz w:val="28"/>
          <w:szCs w:val="28"/>
          <w:rtl/>
        </w:rPr>
        <w:t>ה.</w:t>
      </w:r>
      <w:r>
        <w:rPr>
          <w:rFonts w:ascii="David" w:hAnsi="David"/>
          <w:b/>
          <w:bCs/>
          <w:sz w:val="28"/>
          <w:szCs w:val="28"/>
          <w:rtl/>
        </w:rPr>
        <w:tab/>
        <w:t xml:space="preserve">במקרה שהנפגע מעסיק מטפל (לרבות עובד זר) בהתקשרות ישירה השתתפות הכללית תהיה על פי ההסכם בין הנפגע למטפל, והצהרת הנפגע שקיבל את הטיפול. במקרה שאושר לנפגע 8 שעות סיעוד ביום ההשתתפות תהיה 1/3 (8/24) מעלות המטפל ולא יותר ממחיר שעת טיפול עבור מטופל האחראי בעצמו לקבלת הטיפול, המפורסם בחוזר מרוכז. במקרים שיאושרו פחות מ- 8 שעות השתתפות הכללית תהיה פרופורציונית. לדוגמה: כאשר יאושרו 4 שעות סיעוד ביום ההשתתפות תהיה 4/24 וכד'." </w:t>
      </w:r>
    </w:p>
    <w:p w:rsidR="006B7836" w:rsidRDefault="006B7836" w:rsidP="006B7836">
      <w:pPr>
        <w:spacing w:after="120"/>
        <w:ind w:left="2160" w:right="567" w:hanging="885"/>
        <w:contextualSpacing/>
        <w:jc w:val="both"/>
        <w:rPr>
          <w:rFonts w:ascii="David" w:hAnsi="David"/>
          <w:b/>
          <w:bCs/>
          <w:sz w:val="28"/>
          <w:szCs w:val="28"/>
          <w:rtl/>
        </w:rPr>
      </w:pPr>
    </w:p>
    <w:p w:rsidR="006B7836" w:rsidRDefault="006B7836" w:rsidP="006B7836">
      <w:pPr>
        <w:numPr>
          <w:ilvl w:val="0"/>
          <w:numId w:val="1"/>
        </w:numPr>
        <w:spacing w:after="120" w:line="360" w:lineRule="auto"/>
        <w:ind w:left="284" w:right="-284" w:hanging="426"/>
        <w:contextualSpacing/>
        <w:jc w:val="both"/>
        <w:rPr>
          <w:rFonts w:ascii="David" w:hAnsi="David"/>
          <w:sz w:val="28"/>
          <w:szCs w:val="28"/>
          <w:rtl/>
        </w:rPr>
      </w:pPr>
      <w:r>
        <w:rPr>
          <w:rFonts w:ascii="David" w:hAnsi="David"/>
          <w:b/>
          <w:bCs/>
          <w:sz w:val="28"/>
          <w:szCs w:val="28"/>
          <w:rtl/>
        </w:rPr>
        <w:t>לטענת גב' נאמן</w:t>
      </w:r>
      <w:r>
        <w:rPr>
          <w:rFonts w:ascii="David" w:hAnsi="David"/>
          <w:sz w:val="28"/>
          <w:szCs w:val="28"/>
          <w:rtl/>
        </w:rPr>
        <w:t>, גם אם תתקבל (בניגוד לעמדתה) הטענה כי חבות המוסד וקופת החולים מוגבלת למימון שמונה שעות טיפול סיעודי ביום, בכל מקרה</w:t>
      </w:r>
      <w:r>
        <w:rPr>
          <w:rFonts w:ascii="David" w:hAnsi="David"/>
          <w:b/>
          <w:bCs/>
          <w:sz w:val="28"/>
          <w:szCs w:val="28"/>
          <w:rtl/>
        </w:rPr>
        <w:t xml:space="preserve"> </w:t>
      </w:r>
      <w:r>
        <w:rPr>
          <w:rFonts w:ascii="David" w:hAnsi="David"/>
          <w:sz w:val="28"/>
          <w:szCs w:val="28"/>
          <w:rtl/>
        </w:rPr>
        <w:t xml:space="preserve">אין בסיס לאבחנה בין נפגע עבודה שמעסיק עובד ישראלי, המקבל מימון להעסקת מטפל סיעודי בהיקף של 8 שעות בעלות של 10,000 ₪ לחודש, לבין נפגע עבודה שמעסיק עובד זר, המקבל שליש משמונה שעות, דהיינו מימון עבור שעתיים ו- 2/3 שעות ביום, בסך של 1,600 ₪ לחודש; אין אפשרות "לפרק את העובד לפרודות", ולהעסיקו רק ברגעים בהם הוא מעניק טיפול סיעודי רפואי, והפרדה שכזו היא מלאכותית ובלתי ניתנת ליישום; בנוסף, עובד סיעודי אינו מעניק טיפול סיעודי לנפגע במשך 24 שעות. מעבר לעבודתו בטיפול סיעודי בנפגע עבודה מבצע העובד הזר מטלות נוספות שאינן בגדר סיעוד – ניקיון הבית, רחיצת הרכב של הנכה וכיו"ב, וכמו כן, במסגרת 24 השעות יש שעות שבהן העובד הזר אינו עובד אלא אוכל, נח, עוסק בענייניו האישיים, ישן וכיו"ב. שעות אלה ממילא "נוכו" מחישוב השכר המגיע לעובד הזר, ואין לנכותן פעמיים; עם זאת, נוכח הפסיקה בעניין </w:t>
      </w:r>
      <w:r>
        <w:rPr>
          <w:rFonts w:ascii="David" w:hAnsi="David"/>
          <w:b/>
          <w:bCs/>
          <w:sz w:val="28"/>
          <w:szCs w:val="28"/>
          <w:rtl/>
        </w:rPr>
        <w:t>גלוטן</w:t>
      </w:r>
      <w:r>
        <w:rPr>
          <w:rFonts w:ascii="David" w:hAnsi="David"/>
          <w:sz w:val="28"/>
          <w:szCs w:val="28"/>
          <w:rtl/>
        </w:rPr>
        <w:t xml:space="preserve"> [בג"ץ 1678/07 </w:t>
      </w:r>
      <w:r>
        <w:rPr>
          <w:rFonts w:ascii="David" w:hAnsi="David"/>
          <w:b/>
          <w:bCs/>
          <w:sz w:val="28"/>
          <w:szCs w:val="28"/>
          <w:rtl/>
        </w:rPr>
        <w:t>יולנדה גלוטן נ' בית הדין הארצי לעבודה,</w:t>
      </w:r>
      <w:r>
        <w:rPr>
          <w:rFonts w:ascii="David" w:hAnsi="David"/>
          <w:sz w:val="28"/>
          <w:szCs w:val="28"/>
          <w:rtl/>
        </w:rPr>
        <w:t xml:space="preserve"> פ"ד סג (3) 209 (2009); דנג"ץ 10007/09 </w:t>
      </w:r>
      <w:r>
        <w:rPr>
          <w:rFonts w:ascii="David" w:hAnsi="David"/>
          <w:b/>
          <w:bCs/>
          <w:sz w:val="28"/>
          <w:szCs w:val="28"/>
          <w:rtl/>
        </w:rPr>
        <w:t>יולנדה גלוטן נ' בית הדין הארצי לעבודה</w:t>
      </w:r>
      <w:r>
        <w:rPr>
          <w:rFonts w:ascii="David" w:hAnsi="David"/>
          <w:sz w:val="28"/>
          <w:szCs w:val="28"/>
          <w:rtl/>
        </w:rPr>
        <w:t xml:space="preserve">, פ"ד סו (1) 518 (2013)],לפיה תשלום בעד שמונה שעות עבודה מהווה תשלום בעד משרה מלאה לעובד סיעודי זר, ניתן לקבל שהקופה תממן את עלות העסקת העובד הזר במשך שמונה שעות ביום, עת לכך יש להוסיף את הזכויות הנוספות להן זכאי העובד הזר ועלויות העסקתו הנוספות (נסיעות, הבראה, פנסיה, עריכת ביטוח רפואי, תשלום דמי ביטוח לאומי וכיו"ב), וכן את עלות העסקת מחליף לעובד הסיעודי הזר ביום המנוחה. כאמור, לטענת גב' נאמן (שנדחתה על ידינו) הקצבה המיוחדת </w:t>
      </w:r>
      <w:r>
        <w:rPr>
          <w:rFonts w:ascii="David" w:hAnsi="David"/>
          <w:sz w:val="28"/>
          <w:szCs w:val="28"/>
          <w:rtl/>
        </w:rPr>
        <w:lastRenderedPageBreak/>
        <w:t xml:space="preserve">אינה מיועדת למימון טיפול רפואי סיעודי, ולכן אין להביא בחשבון סכום זה בבחינת זכויותיו של המנוח למימון הטיפול הסיעודי מהקופה. </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b/>
          <w:bCs/>
          <w:sz w:val="28"/>
          <w:szCs w:val="28"/>
          <w:rtl/>
        </w:rPr>
        <w:t xml:space="preserve">לטענת מר בגו, </w:t>
      </w:r>
      <w:r>
        <w:rPr>
          <w:rFonts w:ascii="David" w:hAnsi="David"/>
          <w:sz w:val="28"/>
          <w:szCs w:val="28"/>
          <w:rtl/>
        </w:rPr>
        <w:t xml:space="preserve">"תהום פעורה" כלשונו, בין הקביעה שקופת החולים אמורה לשאת במימון עלות 8 שעות טיפול סיעודי רפואי, ובין ההנחה שכאשר מדובר בטיפול סיעודי המוענק על ידי עובד זר, יש לתרגם 8 שעות אלה לשליש מעלות העסקתו של העובד הזר. שתי קביעות אלו שונות במהותן ובית הדין האזורי שגה שעה שלא התייחס אליהן בנפרד. </w:t>
      </w:r>
    </w:p>
    <w:p w:rsidR="006B7836" w:rsidRDefault="006B7836" w:rsidP="006B7836">
      <w:pPr>
        <w:spacing w:after="120" w:line="360" w:lineRule="auto"/>
        <w:ind w:left="288" w:right="-284"/>
        <w:jc w:val="both"/>
        <w:rPr>
          <w:rFonts w:ascii="David" w:hAnsi="David"/>
          <w:sz w:val="28"/>
          <w:szCs w:val="28"/>
        </w:rPr>
      </w:pPr>
      <w:r>
        <w:rPr>
          <w:rFonts w:ascii="David" w:hAnsi="David"/>
          <w:sz w:val="28"/>
          <w:szCs w:val="28"/>
          <w:rtl/>
        </w:rPr>
        <w:t xml:space="preserve">בכל הנוגע לנוהג הנטען של תשלום שליש מעלות העסקתו של עובד זר, הרי שלא הובאו ראיות להוכחתו; בהקשר זה נטען כי אין להסתמך על </w:t>
      </w:r>
      <w:r>
        <w:rPr>
          <w:rFonts w:ascii="David" w:hAnsi="David"/>
          <w:b/>
          <w:bCs/>
          <w:sz w:val="28"/>
          <w:szCs w:val="28"/>
          <w:rtl/>
        </w:rPr>
        <w:t>עניין אזולאי</w:t>
      </w:r>
      <w:r>
        <w:rPr>
          <w:rFonts w:ascii="David" w:hAnsi="David"/>
          <w:sz w:val="28"/>
          <w:szCs w:val="28"/>
          <w:rtl/>
        </w:rPr>
        <w:t>, שעה שקביעותיו הופנו ללאומית, ולא הוכח כי באותה העת קיים היה נוהג דומה גם בכללית; אין להסתמך גם על מסמך הקווים המנחים שגיבשו המוסד והכללית בשנת 2013, משאין לו מעמד נורמטיבי כשל ההסכמים שבמוקד התובענה, ובכל מקרה הוא אינו יכול ללמד באופן רטרוספקטיבי על קיומו של "נוהג" כזה או אחר שהיה נהוג כ- 15 שנה קודם לכן, בשעה של"נוהג" הנטען אין כל זכר בהסכמים עצמם; ההנחה לפיה מסמך הקווים המנחים אך אשרר מצב קיים ולא שינה את מימון הקצבאות שהיה נהוג עד אותה העת, וכי על המערער היה להוכיח ההיפך, מעבירה אל כתפיו, דה-פקטו, נטל ראייתי בלתי מוצדק ובלתי סביר, שכן אין לו כל מידע באשר לגובה הקצבאות שהכללית הייתה נושאת בהן עד אותו שלב; בכל מקרה, אין מקום להתיר עריכת שינוי הוראות ההסכמים שבין המוסד לבין קופות החולים הפוגע בזכויות נפגעי עבודה במחשכים, בניגוד לחובת הגילוי, השקיפות ותום הלב המוטלות הן על המוסד והן על קופות החולים; גם אם נוצר "נוהג" כנטען על ידי קופות החולים, אין בכך כדי להפוך אותו לראוי והולם, במיוחד לאור העובדה שהוא לא פורסם ולא הובא לידיעת המבוטחים בצורה מסודרת, שתאפשר להם לפעול נגדו.</w:t>
      </w:r>
    </w:p>
    <w:p w:rsidR="006B7836" w:rsidRDefault="006B7836" w:rsidP="006B7836">
      <w:pPr>
        <w:spacing w:after="120" w:line="360" w:lineRule="auto"/>
        <w:ind w:left="288" w:right="-284"/>
        <w:jc w:val="both"/>
        <w:rPr>
          <w:rFonts w:ascii="David" w:hAnsi="David"/>
          <w:sz w:val="28"/>
          <w:szCs w:val="28"/>
        </w:rPr>
      </w:pPr>
      <w:r>
        <w:rPr>
          <w:rFonts w:ascii="David" w:hAnsi="David"/>
          <w:sz w:val="28"/>
          <w:szCs w:val="28"/>
          <w:rtl/>
        </w:rPr>
        <w:t xml:space="preserve">לגופה של הקביעה בדבר שווין הכספי של 8 שעות העזרה הסיעודית – רפואית לנפגע עבודה המעסיק עובד זר כחלק יחסי מתוך 24 שעות העסקתו של עובד זר, נטען כי אין כל הגיון או הצדקה לתמחר שמונה שעות עזרה סיעודית ביתית הניתנות על ידי עובד זר כשוות ערך ל- 8 שעות מתוך 24 שעות, דהיינו כשוות ערך ל- 1/3 מעלות העסקתו החודשית הכוללת של עובד זר; הטענה כי אך שליש ממשרת העובד הזר מוקדשת לטובת טיפול סיעודי רפואי ומכאן הנוהג הקיים, אינה מבוססת ואינה נתמכת בראיות או באסמכתאות, וככל הנראה נובעת מחלוקת שעות היממה (24) ב-8 השעות </w:t>
      </w:r>
      <w:r>
        <w:rPr>
          <w:rFonts w:ascii="David" w:hAnsi="David"/>
          <w:sz w:val="28"/>
          <w:szCs w:val="28"/>
          <w:rtl/>
        </w:rPr>
        <w:lastRenderedPageBreak/>
        <w:t xml:space="preserve">שהקופה מתחייבת לממן לנפגע העבודה, הא ותו לא. בהקשר זה נטען כי אף אחת מקופות החולים לא הצביעה על בדיקות אמפיריות כלשהן שנעשו על ידה, בהן נבדקה ונמדדה פעילותם של העובדים הזרים תוך פירוק ומיון פעולותיהם ל"תת פעילות" של עזרה סיעודית רפואית לעומת "תת פעילות" של עזרה אחרת; שהיית העובד הזר בביתו של המטופל 24 שעות אינה מלמדת על עבודה בת 24 שעות, ועובד זר אינו עובד 24 שעות, אלא בחלק מהיממה הוא ישן, אוכל ומתעסק בענייניו האישיים; גם בעניין  </w:t>
      </w:r>
      <w:r>
        <w:rPr>
          <w:rFonts w:ascii="David" w:hAnsi="David"/>
          <w:b/>
          <w:bCs/>
          <w:sz w:val="28"/>
          <w:szCs w:val="28"/>
          <w:rtl/>
        </w:rPr>
        <w:t xml:space="preserve">גלוטן </w:t>
      </w:r>
      <w:r>
        <w:rPr>
          <w:rFonts w:ascii="David" w:hAnsi="David"/>
          <w:sz w:val="28"/>
          <w:szCs w:val="28"/>
          <w:rtl/>
        </w:rPr>
        <w:t xml:space="preserve">עליו מסתמכות קופות החולים נקבע כי מתכונת העבודה הייחודית של המטפלים הזרים "קושרת" אותם אל המטופלים במשך 24 שעות ביממה, אולם אין מדובר בעבודה במשך 24 שעות, שכן היא משלבת מגורים ופנאי במקום העבודה. לאור האמור, התמחור על פי הנוהג (הנטען) פוגע וגורע באופן מהותי וברור מזכאותו של נפגע העבודה לקבלת עזרה רפואית סיעודית בשיעור של 8 שעות ביום. </w:t>
      </w:r>
    </w:p>
    <w:p w:rsidR="006B7836" w:rsidRDefault="006B7836" w:rsidP="006B7836">
      <w:pPr>
        <w:spacing w:line="360" w:lineRule="auto"/>
        <w:ind w:left="288" w:right="-284"/>
        <w:jc w:val="both"/>
        <w:rPr>
          <w:rFonts w:ascii="David" w:hAnsi="David"/>
          <w:sz w:val="28"/>
          <w:szCs w:val="28"/>
        </w:rPr>
      </w:pPr>
      <w:r>
        <w:rPr>
          <w:rFonts w:ascii="David" w:hAnsi="David"/>
          <w:sz w:val="28"/>
          <w:szCs w:val="28"/>
          <w:rtl/>
        </w:rPr>
        <w:t xml:space="preserve">בכל הנוגע לנטל הראיה טען מר בגו כי  נטל הראייה להוכיח ששליש עלות העסקתו של עובד זר עומד על 600$, כשיעור השתתפות הכללית, הוא שלה לבדה, שכן הכללית טענה שסכום זה נובע מעלות העסקתו היחסית של העובד הזר. </w:t>
      </w:r>
    </w:p>
    <w:p w:rsidR="006B7836" w:rsidRDefault="006B7836" w:rsidP="006B7836">
      <w:pPr>
        <w:spacing w:after="120" w:line="360" w:lineRule="auto"/>
        <w:ind w:left="288" w:right="-284"/>
        <w:jc w:val="both"/>
        <w:rPr>
          <w:rFonts w:ascii="David" w:hAnsi="David"/>
          <w:sz w:val="28"/>
          <w:szCs w:val="28"/>
        </w:rPr>
      </w:pPr>
      <w:r>
        <w:rPr>
          <w:rFonts w:ascii="David" w:hAnsi="David"/>
          <w:sz w:val="28"/>
          <w:szCs w:val="28"/>
          <w:rtl/>
        </w:rPr>
        <w:t xml:space="preserve">בהתייחס לטענה כי הקצבה המיוחדת נועדה לממן את הטיפול הסיעודי הכללי, טען מר בגו, כמפורט בהרחבה לעיל, כי הקצבה המיוחדת מיועדת למימון צרכים אחרים ולא למימון טיפול סיעודי. </w:t>
      </w:r>
    </w:p>
    <w:p w:rsidR="006B7836" w:rsidRDefault="006B7836" w:rsidP="006B7836">
      <w:pPr>
        <w:spacing w:line="360" w:lineRule="auto"/>
        <w:ind w:left="288" w:right="-284"/>
        <w:jc w:val="both"/>
        <w:rPr>
          <w:rFonts w:ascii="David" w:hAnsi="David"/>
          <w:sz w:val="28"/>
          <w:szCs w:val="28"/>
        </w:rPr>
      </w:pPr>
      <w:r>
        <w:rPr>
          <w:rFonts w:ascii="David" w:hAnsi="David"/>
          <w:sz w:val="28"/>
          <w:szCs w:val="28"/>
          <w:rtl/>
        </w:rPr>
        <w:t xml:space="preserve">על יסוד כל האמור, טען מר בגו כי יש לחייב את הקופה בתשלום </w:t>
      </w:r>
      <w:r>
        <w:rPr>
          <w:rFonts w:ascii="David" w:hAnsi="David"/>
          <w:b/>
          <w:bCs/>
          <w:sz w:val="28"/>
          <w:szCs w:val="28"/>
          <w:rtl/>
        </w:rPr>
        <w:t>"פיצוי בגין "החזרים כספיים ששולמו לו בחסר"</w:t>
      </w:r>
      <w:r>
        <w:rPr>
          <w:rFonts w:ascii="David" w:hAnsi="David"/>
          <w:sz w:val="28"/>
          <w:szCs w:val="28"/>
          <w:rtl/>
        </w:rPr>
        <w:t xml:space="preserve"> על ידי הכללית, בשיעור ההפרש שבין 600$ ששולמו לו בפועל לבין עלות עזרה בשכר לפי 8 שעות עזרה ליום, המסתכמת לפי חוות דעת המומחה שהגיש בסך של 7,200 ₪ לחודש, כשלסכום זה יש להוסיף נסיעות וכן תוספת בגין עבודה בשישי, שבת וחג. </w:t>
      </w:r>
    </w:p>
    <w:p w:rsidR="006B7836" w:rsidRDefault="006B7836" w:rsidP="006B7836">
      <w:pPr>
        <w:numPr>
          <w:ilvl w:val="0"/>
          <w:numId w:val="1"/>
        </w:numPr>
        <w:spacing w:line="360" w:lineRule="auto"/>
        <w:ind w:left="288" w:right="-284" w:hanging="432"/>
        <w:jc w:val="both"/>
        <w:rPr>
          <w:rFonts w:ascii="David" w:hAnsi="David"/>
          <w:sz w:val="28"/>
          <w:szCs w:val="28"/>
          <w:rtl/>
        </w:rPr>
      </w:pPr>
      <w:r>
        <w:rPr>
          <w:rFonts w:ascii="David" w:hAnsi="David"/>
          <w:b/>
          <w:bCs/>
          <w:sz w:val="28"/>
          <w:szCs w:val="28"/>
          <w:rtl/>
        </w:rPr>
        <w:t xml:space="preserve">המוסד טען </w:t>
      </w:r>
      <w:r>
        <w:rPr>
          <w:rFonts w:ascii="David" w:hAnsi="David"/>
          <w:sz w:val="28"/>
          <w:szCs w:val="28"/>
          <w:rtl/>
        </w:rPr>
        <w:t>כי</w:t>
      </w:r>
      <w:r>
        <w:rPr>
          <w:rFonts w:ascii="David" w:hAnsi="David"/>
          <w:b/>
          <w:bCs/>
          <w:sz w:val="28"/>
          <w:szCs w:val="28"/>
          <w:rtl/>
        </w:rPr>
        <w:t xml:space="preserve"> "הנוהג הקיים לאורך השנים בין המוסד לבין כל קופות החולים הוא ששליש מהטיפול הסיעודי הביתי, אשר הוכר כנובע מהפגיעה בעבודה, הוא בגדר טיפול סיעודי-רפואי אותו מחויבת הקופה לממן"</w:t>
      </w:r>
      <w:r>
        <w:rPr>
          <w:rFonts w:ascii="David" w:hAnsi="David"/>
          <w:sz w:val="28"/>
          <w:szCs w:val="28"/>
          <w:rtl/>
        </w:rPr>
        <w:t xml:space="preserve">, וכפי שנקבע בפסקי הדין מושא הערעור נוהג זה הוא סביר. נוהג זה בא לידי ביטוי גם במסמך הקווים המנחים. בהקשר זה נטען כי לא הוכח עובדתית שהטיפול הסיעודי הרפואי שניתן על ידי העובד הזר הן למנוח והן למר בגו עלה בהיקפו על שליש משרתו של העובד הזר; טענותיה של גב' נאמן בדבר הפליה לכאורה בין המנוח לבין נפגע עבודה המאושפז במוסד או נפגע עבודה המעסיק עובד ישראלי, הינן תיאורטיות, ואין בהן כדי להעניק זכויות שלא על </w:t>
      </w:r>
      <w:r>
        <w:rPr>
          <w:rFonts w:ascii="David" w:hAnsi="David"/>
          <w:sz w:val="28"/>
          <w:szCs w:val="28"/>
          <w:rtl/>
        </w:rPr>
        <w:lastRenderedPageBreak/>
        <w:t xml:space="preserve">פי הדין הקיים. בכל הנוגע למר בגו, הכללית הבהירה כי התשלום בסך של 4,500 ₪ לחודש מקורו בטעות, והיא הייתה רשאית לתקן את טעותה. </w:t>
      </w:r>
    </w:p>
    <w:p w:rsidR="006B7836" w:rsidRDefault="006B7836" w:rsidP="006B7836">
      <w:pPr>
        <w:spacing w:line="360" w:lineRule="auto"/>
        <w:ind w:left="288" w:right="-284"/>
        <w:jc w:val="both"/>
        <w:rPr>
          <w:rFonts w:ascii="David" w:hAnsi="David"/>
          <w:sz w:val="28"/>
          <w:szCs w:val="28"/>
          <w:rtl/>
        </w:rPr>
      </w:pPr>
      <w:r>
        <w:rPr>
          <w:rFonts w:ascii="David" w:hAnsi="David"/>
          <w:sz w:val="28"/>
          <w:szCs w:val="28"/>
          <w:rtl/>
        </w:rPr>
        <w:t xml:space="preserve">אשר לטענה בדבר תחשיב שליש מעלות העסקת עובד זר, הרי שעל פי קביעתו העובדתית של בית הדין האזורי בעניין נאמן לא הוכח ולו חודש אחד שבו סכום הקצבה המיוחדת ותשלום לאומית היה נמוך משכרו של העובד הזר. בעניינו של מר בגו קבע בית הדין האזורי כי הוא לא הוכיח הן את עצם העסקת עובד זר והן את עלות שכרו, ועל כן לא הוכיח את טענתו. בכל מקרה, סכום הקצבה המיוחדת עולה על תקרת השכר שנקבעה למטפל זר, וזאת אף מבלי להביא בחשבון את השתתפות הכללית במימון עלות העסקת המטפל הזר.  </w:t>
      </w:r>
    </w:p>
    <w:p w:rsidR="006B7836" w:rsidRDefault="006B7836" w:rsidP="006B7836">
      <w:pPr>
        <w:numPr>
          <w:ilvl w:val="0"/>
          <w:numId w:val="1"/>
        </w:numPr>
        <w:spacing w:after="120" w:line="360" w:lineRule="auto"/>
        <w:ind w:left="284" w:right="-284" w:hanging="426"/>
        <w:contextualSpacing/>
        <w:jc w:val="both"/>
        <w:rPr>
          <w:rFonts w:ascii="David" w:hAnsi="David"/>
          <w:sz w:val="28"/>
          <w:szCs w:val="28"/>
        </w:rPr>
      </w:pPr>
      <w:r>
        <w:rPr>
          <w:rFonts w:ascii="David" w:hAnsi="David"/>
          <w:b/>
          <w:bCs/>
          <w:sz w:val="28"/>
          <w:szCs w:val="28"/>
          <w:rtl/>
        </w:rPr>
        <w:t xml:space="preserve"> לאומית טענה</w:t>
      </w:r>
      <w:r>
        <w:rPr>
          <w:rFonts w:ascii="David" w:hAnsi="David"/>
          <w:sz w:val="28"/>
          <w:szCs w:val="28"/>
          <w:rtl/>
        </w:rPr>
        <w:t xml:space="preserve"> כי לאחר שאושרה למנוח הקצבה המיוחדת רטרואקטיבית מדובר בתובענה ובערעור תיאורטי. זאת, נוכח קביעתו החד-משמעית של בית הדין האזורי כי המנוח "</w:t>
      </w:r>
      <w:r>
        <w:rPr>
          <w:rFonts w:ascii="David" w:hAnsi="David"/>
          <w:b/>
          <w:bCs/>
          <w:sz w:val="28"/>
          <w:szCs w:val="28"/>
          <w:rtl/>
        </w:rPr>
        <w:t>לא הצביע, ולו על חודש אחד לדוגמא, שבהתייחס אליו השתתפות קופת החולים בצירוף הקצבה המיוחדת, עדיין לא כיסו את הוצאות שכר העובד הזר</w:t>
      </w:r>
      <w:r>
        <w:rPr>
          <w:rFonts w:ascii="David" w:hAnsi="David"/>
          <w:sz w:val="28"/>
          <w:szCs w:val="28"/>
          <w:rtl/>
        </w:rPr>
        <w:t xml:space="preserve">"; הנתונים המופיעים בהודעת הערעור, כגון לעניין עלויות אשפוז במוסד או השתתפות לאומית במימון העסקתו של עובד ישראלי באמצעות חברת כוח אדם לא נתמכו בראיות; בדין נפסק גם כי עבודת העובד הזר נפרשת על פני היממה כולה, ובנסיבות אלה, תשלום שליש מעלות שכרו בגין מתן טיפול סיעודי רפואי הינו סביר. </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b/>
          <w:bCs/>
          <w:sz w:val="28"/>
          <w:szCs w:val="28"/>
          <w:rtl/>
        </w:rPr>
        <w:t>הכללית טענה</w:t>
      </w:r>
      <w:r>
        <w:rPr>
          <w:rFonts w:ascii="David" w:hAnsi="David"/>
          <w:sz w:val="28"/>
          <w:szCs w:val="28"/>
          <w:rtl/>
        </w:rPr>
        <w:t xml:space="preserve"> כי צדק בית הדין האזורי כי יש לערוך הבחנה בין טיפול סיעודי כללי ובין טיפול סיעודי רפואי, ובקביעתו כי הנוהג הקיים מתמחר את 8 השעות שבהן על הכללית לשאת בשליש מעלות שכרו של העובד הזר וכי נוהג זה הוא סביר. הנוהג הקיים נלמד גם ממסמך קווים מנחים, שבו ניתן פירוט מדויק של השירותים אותם התחייבה הכללית להעניק לנפגעי עבודה והיקפם, וכן נהלים בדבר אופן הענקת וקבלת השירותים, וסיעוד ביתי בכלל זה. מסמך זה משקף ומאשרר את כוונת הצדדים בעת חתימת ההסכם מלכתחילה, ונועד לחדד ולפרט את השירותים הניתנים על ידי הכללית לנפגעי עבודה. </w:t>
      </w:r>
    </w:p>
    <w:p w:rsidR="006B7836" w:rsidRDefault="006B7836" w:rsidP="006B7836">
      <w:pPr>
        <w:spacing w:line="360" w:lineRule="auto"/>
        <w:ind w:left="288" w:right="-284"/>
        <w:jc w:val="both"/>
        <w:rPr>
          <w:rFonts w:ascii="David" w:hAnsi="David"/>
          <w:sz w:val="28"/>
          <w:szCs w:val="28"/>
        </w:rPr>
      </w:pPr>
      <w:r>
        <w:rPr>
          <w:rFonts w:ascii="David" w:hAnsi="David"/>
          <w:sz w:val="28"/>
          <w:szCs w:val="28"/>
          <w:rtl/>
        </w:rPr>
        <w:t xml:space="preserve">בהתייחס לטענת נאמן כי הנוהג הקיים מפלה באופן פסול בין נפגע עבודה המאושפז במוסד לבין נפגע עבודה השוהה בביתו טענה כללית כי אין ממש בהשוואה זו, שכן נפגע הזקוק לטיפול במוסד מצוי בדרך כלל במצב רפואי ותפקודי שונה ממבוטח המסוגל להתגורר בביתו ולהיעזר בתמיכה מצומצמת יותר, וממילא גם עלויות הקופה אינן שוות. בנוסף, כאשר נפגע שוהה במוסד, נושא המוסד בהוצאות שונות שהקופה </w:t>
      </w:r>
      <w:r>
        <w:rPr>
          <w:rFonts w:ascii="David" w:hAnsi="David"/>
          <w:sz w:val="28"/>
          <w:szCs w:val="28"/>
          <w:rtl/>
        </w:rPr>
        <w:lastRenderedPageBreak/>
        <w:t xml:space="preserve">מממנת לנפגע השוהה בביתו (תרופות, טיפולים פארה רפואיים, אביזרים רפואיים) וקופת החולים אינה נדרשת לממן הוצאות אלה בבית המבוטח, בעלות גבוהה מאד. </w:t>
      </w:r>
    </w:p>
    <w:p w:rsidR="006B7836" w:rsidRDefault="006B7836" w:rsidP="006B7836">
      <w:pPr>
        <w:spacing w:line="360" w:lineRule="auto"/>
        <w:ind w:left="288" w:right="-284"/>
        <w:jc w:val="both"/>
        <w:rPr>
          <w:rFonts w:ascii="David" w:hAnsi="David"/>
          <w:sz w:val="28"/>
          <w:szCs w:val="28"/>
        </w:rPr>
      </w:pPr>
      <w:r>
        <w:rPr>
          <w:rFonts w:ascii="David" w:hAnsi="David"/>
          <w:sz w:val="28"/>
          <w:szCs w:val="28"/>
          <w:rtl/>
        </w:rPr>
        <w:t xml:space="preserve">יתר על כן. בהסכם בין המוסד לבין הכללית נקבע כי הזכאות היא להחזר עלות טיפול בפועל ולא סכום תיאורטי. מר בגו לא הציג בדל ראיה באשר לגובה הוצאותיו בקשר עם העסקת העובד הזר לאורך השנים, באופן שמאיין את תביעתו כולה. מכל מקום, על פי חוות דעת מומחה שהגישה הכללית, העלות המלאה של העסקת מטפל סיעודי זר מגיעה לסכום של 6,592 ₪, סכום הנמוך מהקצבה המיוחדת המשולמת למערער בסך של 8,200 ₪, כלומר מעל 100% מהעלות. בהתחשב בתשלום הנוסף שמשלמת הקופה, בשיעור של 1/3 מעלות העסקת המטפל, הרי שמר בגו מקבל מהקופה הציבורית מעבר ל- 100% מעלות העסקת העובד הזר; הטענה לזכאות למימון העולה על שליש  משכר המטפל מהטעם כי אינו עובד במשך 24 שעות ביממה מנוגדת לפסיקת בית הדין ולפסיקה בעניין </w:t>
      </w:r>
      <w:r>
        <w:rPr>
          <w:rFonts w:ascii="David" w:hAnsi="David"/>
          <w:b/>
          <w:bCs/>
          <w:sz w:val="28"/>
          <w:szCs w:val="28"/>
          <w:rtl/>
        </w:rPr>
        <w:t>גלוטן</w:t>
      </w:r>
      <w:r>
        <w:rPr>
          <w:rFonts w:ascii="David" w:hAnsi="David"/>
          <w:sz w:val="28"/>
          <w:szCs w:val="28"/>
          <w:rtl/>
        </w:rPr>
        <w:t xml:space="preserve">, הקובעת ייחוד משרתו ושכרו של המטפל הסיעודי הזר. </w:t>
      </w:r>
    </w:p>
    <w:p w:rsidR="006B7836" w:rsidRDefault="006B7836" w:rsidP="006B7836">
      <w:pPr>
        <w:spacing w:line="360" w:lineRule="auto"/>
        <w:ind w:left="288" w:right="-284"/>
        <w:jc w:val="both"/>
        <w:rPr>
          <w:rFonts w:ascii="David" w:hAnsi="David"/>
          <w:sz w:val="28"/>
          <w:szCs w:val="28"/>
        </w:rPr>
      </w:pPr>
      <w:r>
        <w:rPr>
          <w:rFonts w:ascii="David" w:hAnsi="David"/>
          <w:sz w:val="28"/>
          <w:szCs w:val="28"/>
          <w:rtl/>
        </w:rPr>
        <w:t xml:space="preserve">בכל הנוגע לשינוי התשלום ששולם למר בגו בשנת 1998, טענה הכללית כי אכן שילמה למר בגו בעבר 4,500 ₪ מדי חודש בגין העסקת מטפל למטרת סיעוד רפואי, אולם בשנת 1998 בוצע ביקור בית ונמצא כי מר בגו מעסיק עובד זר, כלומר תוקצב ביתר, ובהתאם עודכנה זכאותו להחזר בסך של 600$ לחודש, המהווה את החלק היחסי מעלותו הכוללת של המטפל הזר (באותה עת היה נהוג לשלם לעובדים זרים במטבע דולרי). משעמדה הכללית על טעותה מזכותה – ואף מחובתה בהיותה גוף ציבורי האמון על כספי הציבור – לתקן את המעוות ולהעמיד את היקף הסיוע לסיעוד רפואי על פי המוסכם בינה לבין המוסד. </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b/>
          <w:bCs/>
          <w:sz w:val="28"/>
          <w:szCs w:val="28"/>
          <w:rtl/>
        </w:rPr>
        <w:t xml:space="preserve">מאוחדת טענה </w:t>
      </w:r>
      <w:r>
        <w:rPr>
          <w:rFonts w:ascii="David" w:hAnsi="David"/>
          <w:sz w:val="28"/>
          <w:szCs w:val="28"/>
          <w:rtl/>
        </w:rPr>
        <w:t xml:space="preserve">כי נוהג קופות החולים לשאת עד שליש מעלות העסקת העובד הזר, בגין הטיפול הסיעודי הרפואי, הוכח בתובענות מושא הערעורים שבכותרת, עוגן במסגרת מסמך הקווים המנחים, ואף עוגן בפסיקת בתי הדין האזוריים. על כן יש לקוראו אל תוך ההסכם, כאמור בסעיף 26 לחוק החוזים; על קיומו של הנוהג ניתן ללמוד גם מסעיף 15 להסכם משנת 2016 שבין המוסד לבין הקופות, שבו נקבע מפורשות במסגרת סעיף 15 להסכם כי </w:t>
      </w:r>
      <w:r>
        <w:rPr>
          <w:rFonts w:ascii="David" w:hAnsi="David"/>
          <w:b/>
          <w:bCs/>
          <w:sz w:val="28"/>
          <w:szCs w:val="28"/>
          <w:rtl/>
        </w:rPr>
        <w:t>"הקופה תשתתף בעלות העסקת מטפל לעזרה סיעודית רפואית בבית מקבל השירות בגובה עד 1/3 מעלות העסקתו לפי עלות העסקה מירבית שלא תעלה על 6,900 ₪... "</w:t>
      </w:r>
      <w:r>
        <w:rPr>
          <w:rFonts w:ascii="David" w:hAnsi="David"/>
          <w:sz w:val="28"/>
          <w:szCs w:val="28"/>
          <w:rtl/>
        </w:rPr>
        <w:t xml:space="preserve">. הסכם זה מושתת על "ההיסטוריה ההסכמית" שקדמה לו ומלמד עליה; נוכח העובדה שהיחסים בין המוסד וקופות החולים חוזיים בעיקרם, ובמוקד היחסים ביניהם עומד ההסכם, הרי שעילות </w:t>
      </w:r>
      <w:r>
        <w:rPr>
          <w:rFonts w:ascii="David" w:hAnsi="David"/>
          <w:sz w:val="28"/>
          <w:szCs w:val="28"/>
          <w:rtl/>
        </w:rPr>
        <w:lastRenderedPageBreak/>
        <w:t>הפסלות היחידות של ההסכם הן מכוח חוק החוזים, ולכן מוגבלות להיות החוזה בלתי חוקי, בלתי מוסרי או נוגד את תקנת הציבור כמפורט בסעיף 30 לחוק החוזים. לעומת זאת, טענה להיות ההסכם בלתי צודק או בלתי סביר אינה בסמכות בית הדין.</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b/>
          <w:bCs/>
          <w:sz w:val="28"/>
          <w:szCs w:val="28"/>
          <w:rtl/>
        </w:rPr>
        <w:t xml:space="preserve">מכבי הבהירה, </w:t>
      </w:r>
      <w:r>
        <w:rPr>
          <w:rFonts w:ascii="David" w:hAnsi="David"/>
          <w:sz w:val="28"/>
          <w:szCs w:val="28"/>
          <w:rtl/>
        </w:rPr>
        <w:t xml:space="preserve">כי בהסכם 1990 לא עוגנה חובת הקופה לממן את הטיפול הסיעודי, וזו עוגנה לראשונה בהסכם 2003, רק ביחס לטיפול סיעודי רפואי, ובמקרים של 100% נכות מימון הקופה הוא עד לשליש מעלות העסקת עובד זר, מתוך הנחה כי העובד הזר מקדיש אך שליש ממשרתו לצרכים רפואיים (להבדיל מסיוע בפעולות היום יום). מכבי הבהירה כי הרציונל שבבסיס הנוהג האמור ברור, שכן לצורך מימון הסיוע בביצוע פעולות היום יום (שאינן רפואיות) קיימות הקצבאות האחרות שמעניק המוסד, ביניהן קצבת שירותים מיוחדים, וממילא ככל שתתקבל עמדת המערערים, יהא בכך כדי לייצר כפל גמלאות בניגוד להוראות החוק; אין להשוות בין עניינם של נפגעי עבודה המאושפזים במוסד לבין עניינם של נפגעי עבודה המעסיקים עובד זר בביתם, ומדובר "בעירוב מין בשאינו מינו". שכן, על פי רוב נפגע עבודה המאושפז במוסד מצוי במצב תפקודי ורפואי שונה מזה המסוגל לשהות בביתו. בנוסף, המאושפז במוסד זכאי מהמוסד למימון מלא של כלל צרכיו, שחלק מהם ממומן על ידי קופת החולים במקרה של שהייה בבית. זאת ועוד. כאשר אדם מאושפז במוסד סיעודי מורכב זכאיות הקופות לחלוקת קצבה בהתאם לסעיף 307 לחוק, מה שאין כן ביחס לשהייה בבית. לאור כל האמור, אין להשוות בין נפגע עבודה סיעודי המטופל בביתו לבין נפגע עבודה המאושפז במוסד. </w:t>
      </w:r>
    </w:p>
    <w:p w:rsidR="006B7836" w:rsidRDefault="006B7836" w:rsidP="006B7836">
      <w:pPr>
        <w:numPr>
          <w:ilvl w:val="0"/>
          <w:numId w:val="1"/>
        </w:numPr>
        <w:spacing w:line="360" w:lineRule="auto"/>
        <w:ind w:left="288" w:right="-284" w:hanging="432"/>
        <w:jc w:val="both"/>
        <w:rPr>
          <w:rFonts w:ascii="David" w:hAnsi="David"/>
          <w:b/>
          <w:bCs/>
          <w:sz w:val="28"/>
          <w:szCs w:val="28"/>
        </w:rPr>
      </w:pPr>
      <w:r>
        <w:rPr>
          <w:rFonts w:ascii="David" w:hAnsi="David"/>
          <w:b/>
          <w:bCs/>
          <w:sz w:val="28"/>
          <w:szCs w:val="28"/>
          <w:rtl/>
        </w:rPr>
        <w:t xml:space="preserve">לאחר בחינת טענות הצדדים וכלל החומר שבתיק הגענו לכלל מסקנה כי גם בעניין תחשיב תשלום הקופה במימון העסקת העובד הסיעודי הזר דין הערעורים  להידחות בעיקרם, אם כי בעניין נאמן יש מקום לבחינה ותיקון של תחשיב לאומית. </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sz w:val="28"/>
          <w:szCs w:val="28"/>
          <w:rtl/>
        </w:rPr>
        <w:t xml:space="preserve">קודם לבחינת שיעור תשלום הקופה למימון הטיפול הסיעודי רפואי ואופן תחשיבו יש לעמוד על מהותו. תשלום הקופה הוא </w:t>
      </w:r>
      <w:r>
        <w:rPr>
          <w:rFonts w:ascii="David" w:hAnsi="David"/>
          <w:b/>
          <w:bCs/>
          <w:sz w:val="28"/>
          <w:szCs w:val="28"/>
          <w:rtl/>
        </w:rPr>
        <w:t>במהותו</w:t>
      </w:r>
      <w:r>
        <w:rPr>
          <w:rFonts w:ascii="David" w:hAnsi="David"/>
          <w:sz w:val="28"/>
          <w:szCs w:val="28"/>
          <w:rtl/>
        </w:rPr>
        <w:t xml:space="preserve"> </w:t>
      </w:r>
      <w:r>
        <w:rPr>
          <w:rFonts w:ascii="David" w:hAnsi="David"/>
          <w:b/>
          <w:bCs/>
          <w:sz w:val="28"/>
          <w:szCs w:val="28"/>
          <w:rtl/>
        </w:rPr>
        <w:t>החזר הוצאות</w:t>
      </w:r>
      <w:r>
        <w:rPr>
          <w:rFonts w:ascii="David" w:hAnsi="David"/>
          <w:sz w:val="28"/>
          <w:szCs w:val="28"/>
          <w:rtl/>
        </w:rPr>
        <w:t xml:space="preserve">, שכן הוא </w:t>
      </w:r>
      <w:r>
        <w:rPr>
          <w:rFonts w:ascii="David" w:hAnsi="David"/>
          <w:b/>
          <w:bCs/>
          <w:sz w:val="28"/>
          <w:szCs w:val="28"/>
          <w:rtl/>
        </w:rPr>
        <w:t>תחליף לגמלה בעין</w:t>
      </w:r>
      <w:r>
        <w:rPr>
          <w:rFonts w:ascii="David" w:hAnsi="David"/>
          <w:sz w:val="28"/>
          <w:szCs w:val="28"/>
          <w:rtl/>
        </w:rPr>
        <w:t xml:space="preserve"> – טיפול סיעודי רפואי – ולא גמלה או מענק. כמוסבר לעיל, על פי החוק והתקנות במסגרת הזכאות לגמלאות בעין זכאי נפגע עבודה לטיפול רפואי, שניתן על ידי קופת החולים. ככל שנפגע עבודה השוהה בביתו זקוק לטיפול סיעודי רפואי, אזי משיקולים מעשיים השירות הרפואי לא ניתן בעין על ידי הקופה אלא היא מממנת את רכישתו עבור הנפגע, על יסוד הוצאות הנפגע בפועל. הוראת סעיף 6 להסכם 2003 שלפיה הסכום המקסימלי להשתתפות הקופה הוא הסכום המשתלם עבור אשפוז במוסד רפואי קובעת </w:t>
      </w:r>
      <w:r>
        <w:rPr>
          <w:rFonts w:ascii="David" w:hAnsi="David"/>
          <w:b/>
          <w:bCs/>
          <w:sz w:val="28"/>
          <w:szCs w:val="28"/>
          <w:rtl/>
        </w:rPr>
        <w:t xml:space="preserve">תקרה </w:t>
      </w:r>
      <w:r>
        <w:rPr>
          <w:rFonts w:ascii="David" w:hAnsi="David"/>
          <w:sz w:val="28"/>
          <w:szCs w:val="28"/>
          <w:rtl/>
        </w:rPr>
        <w:t xml:space="preserve">להשתתפות הקופה במימון טיפול רפואי סיעודי בביתו של נפגע </w:t>
      </w:r>
      <w:r>
        <w:rPr>
          <w:rFonts w:ascii="David" w:hAnsi="David"/>
          <w:sz w:val="28"/>
          <w:szCs w:val="28"/>
          <w:rtl/>
        </w:rPr>
        <w:lastRenderedPageBreak/>
        <w:t>עבודה, אולם אינה מקנה זכאות לתשלום בשיעור זה. מעבר לאמור, יש שוני מהותי בין מצב שבו נפגע עבודה מאושפז במוסד לבין מצב שבו נפגע עבודה שוהה בביתו. כך למשל, הוצאות שונות (טיפולי פיזיותרפיה, תרופות ועוד) כלולים במחיר האשפוז במוסד, בעוד שעת נפגע עבודה שוהה בביתו הקופה אמורה לשאת בהוצאות אלה בנוסף להשתתפות בטיפול הסיעודי רפואי. על כן, אין מקום להשוואה בין השניים.</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sz w:val="28"/>
          <w:szCs w:val="28"/>
          <w:rtl/>
        </w:rPr>
        <w:t xml:space="preserve">ממהות תשלום הקופה בעד טיפול סיעודי רפואי - החזר הוצאות, כתחליף לגמלה בעין (מתן טיפול רפואי סיעודי לנפגע עבודה) - נובע כי </w:t>
      </w:r>
      <w:r>
        <w:rPr>
          <w:rFonts w:ascii="David" w:hAnsi="David"/>
          <w:b/>
          <w:bCs/>
          <w:sz w:val="28"/>
          <w:szCs w:val="28"/>
          <w:rtl/>
        </w:rPr>
        <w:t xml:space="preserve">הנתון הרלוונטי הוא ההוצאות בפועל שבהן נושא נפגע עבודה למימון הטיפול הסיעודי הרפואי הניתן לו בביתו </w:t>
      </w:r>
      <w:r>
        <w:rPr>
          <w:rFonts w:ascii="David" w:hAnsi="David"/>
          <w:sz w:val="28"/>
          <w:szCs w:val="28"/>
          <w:rtl/>
        </w:rPr>
        <w:t xml:space="preserve">ואין רלוונטיות לנתונים אחרים, כגון – העלות לקופה של יום אשפוז במוסד רפואי או עלות העסקת עובד סיעודי ישראלי על בסיס שכר שעתי. נוכח האמור, יש לדחות גם את טענת ההפליה שהעלתה גב' נאמן, שכן כמובהר אין רלוונטיות לתשלומים שמשלמת הקופה לנפגעי עבודה בנסיבות אחרות. </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sz w:val="28"/>
          <w:szCs w:val="28"/>
          <w:rtl/>
        </w:rPr>
        <w:t xml:space="preserve">במסמך הקווים המנחים מנויות מספר אפשרויות: הראשונה - הטיפול הסיעודי ניתן באמצעות חברה לשירותי סיעוד כשההתקשרות היא בינה לבין הקופה. התשלום מועבר ישירות לחברה על ידי הקופה, על יסוד מספר השעות שאושרו לנפגע ולפי המחיר המכסימלי שמפורסם מעת לעת בחוזר מרוכז; השנייה – הטיפול הסיעודי ניתן באמצעות חברה עמה התקשר נפגע העבודה, ואז משולם לנפגע העבודה החזר כספי בהתאם למספר השעות שאושרו לנפגע העבודה; השלישית - הטיפול הסיעודי ניתן באמצעות מטפל זר עמו התקשר הנפגע במישרין, ואז משולם לנפגע השתתפות בשיעור של 1/3 (8/24) מעלות המטפל ולא יותר מעלות שעת טיפול עבור מטופל האחראי בעצמו לקבלת הטיפול המפורסם בחוזר מרוכז. </w:t>
      </w:r>
    </w:p>
    <w:p w:rsidR="006B7836" w:rsidRDefault="006B7836" w:rsidP="006B7836">
      <w:pPr>
        <w:spacing w:line="360" w:lineRule="auto"/>
        <w:ind w:left="288" w:right="-284"/>
        <w:jc w:val="both"/>
        <w:rPr>
          <w:rFonts w:ascii="David" w:hAnsi="David"/>
          <w:sz w:val="28"/>
          <w:szCs w:val="28"/>
          <w:rtl/>
        </w:rPr>
      </w:pPr>
      <w:r>
        <w:rPr>
          <w:rFonts w:ascii="David" w:hAnsi="David"/>
          <w:sz w:val="28"/>
          <w:szCs w:val="28"/>
          <w:rtl/>
        </w:rPr>
        <w:t>בענייננו, הן המנוח והן מר בגו העסיקו עובד סיעודי זר, ואושרו להם 8 שעות סיעוד רפואי. על כן יש לדון בשתי שאלות: האחת – האם הקביעה כי שיעור השתתפות קופת חולים במימון העסקת העובד הזר תעמוד על 1/3 מעלות העסקתו של העובד הזר עולה בקנה אחד עם הוראות החוק התקנות, ובכלל זאת האם קביעה זו היא סבירה?</w:t>
      </w:r>
      <w:r>
        <w:rPr>
          <w:rFonts w:ascii="David" w:hAnsi="David"/>
          <w:sz w:val="28"/>
          <w:szCs w:val="28"/>
        </w:rPr>
        <w:t xml:space="preserve"> </w:t>
      </w:r>
      <w:r>
        <w:rPr>
          <w:rFonts w:ascii="David" w:hAnsi="David"/>
          <w:sz w:val="28"/>
          <w:szCs w:val="28"/>
          <w:rtl/>
        </w:rPr>
        <w:t>השנייה – ככל שמתקבלת הטענה העקרונית ששיעור השתתפות הקופה הוא שליש מעלות העסקת העובד הזר, מה הם העקרונות לעריכת תחשיב השתתפות הקופה, והאם יש הלימה בין תחשיב הקופה לבין ההוצאות הממשיות.</w:t>
      </w:r>
    </w:p>
    <w:p w:rsidR="006B7836" w:rsidRDefault="006B7836" w:rsidP="006B7836">
      <w:pPr>
        <w:numPr>
          <w:ilvl w:val="0"/>
          <w:numId w:val="1"/>
        </w:numPr>
        <w:spacing w:line="360" w:lineRule="auto"/>
        <w:ind w:left="288" w:right="-284" w:hanging="432"/>
        <w:jc w:val="both"/>
        <w:rPr>
          <w:rFonts w:ascii="David" w:hAnsi="David"/>
          <w:b/>
          <w:bCs/>
          <w:sz w:val="28"/>
          <w:szCs w:val="28"/>
        </w:rPr>
      </w:pPr>
      <w:r>
        <w:rPr>
          <w:rFonts w:ascii="David" w:hAnsi="David"/>
          <w:b/>
          <w:bCs/>
          <w:sz w:val="28"/>
          <w:szCs w:val="28"/>
          <w:rtl/>
        </w:rPr>
        <w:t xml:space="preserve">אשר לקביעה כי השתתפות הקופה תעמוד על שליש מעלות העסקתו של עובד זר: </w:t>
      </w:r>
    </w:p>
    <w:p w:rsidR="006B7836" w:rsidRDefault="006B7836" w:rsidP="006B7836">
      <w:pPr>
        <w:spacing w:line="360" w:lineRule="auto"/>
        <w:ind w:left="288" w:right="-284"/>
        <w:jc w:val="both"/>
        <w:rPr>
          <w:rFonts w:ascii="David" w:hAnsi="David"/>
          <w:sz w:val="28"/>
          <w:szCs w:val="28"/>
        </w:rPr>
      </w:pPr>
      <w:r>
        <w:rPr>
          <w:rFonts w:ascii="David" w:hAnsi="David"/>
          <w:sz w:val="28"/>
          <w:szCs w:val="28"/>
          <w:rtl/>
        </w:rPr>
        <w:t xml:space="preserve">לטענת המערערים, תחשיב זה אינו סביר, שכן אינו שווה ערך למימון שמונה שעות טיפול סיעודי רפואי. טענתם העיקרית היא שגם אם בעניין </w:t>
      </w:r>
      <w:r>
        <w:rPr>
          <w:rFonts w:ascii="David" w:hAnsi="David"/>
          <w:b/>
          <w:bCs/>
          <w:sz w:val="28"/>
          <w:szCs w:val="28"/>
          <w:rtl/>
        </w:rPr>
        <w:t>גלוטן</w:t>
      </w:r>
      <w:r>
        <w:rPr>
          <w:rFonts w:ascii="David" w:hAnsi="David"/>
          <w:sz w:val="28"/>
          <w:szCs w:val="28"/>
          <w:rtl/>
        </w:rPr>
        <w:t xml:space="preserve"> נפסק כי עובד </w:t>
      </w:r>
      <w:r>
        <w:rPr>
          <w:rFonts w:ascii="David" w:hAnsi="David"/>
          <w:sz w:val="28"/>
          <w:szCs w:val="28"/>
          <w:rtl/>
        </w:rPr>
        <w:lastRenderedPageBreak/>
        <w:t xml:space="preserve">סיעודי זר אינו זכאי לתשלום בעד שעות עבודה נוספות, כך שתשלום שכר מינימום (או השכר המוסכם) בעד משרה מלאה מהווה תשלום מלוא השכר המגיע לו בעד מתכונת עבודתו שלפיה הוא עומד לרשות העבודה במשך 24 שעות ביממה, קביעה זו מבוססת על מתכונת העבודה הייחודית של העובד הזר המתגורר בבית מעסיקו, המשלבת עבודה ומגורים, כך שחלק מהיממה אינן שעות עבודה. על כן, העובד הזר אינו עוסק במתן טיפול סיעודי לנכה עבודה במשך 24 שעות ביממה, וכפועל יוצא מכך מימון שליש מעלות העסקתו אינו שווה ערך למימון שמונה שעות טיפול סיעודי רפואי שאושרו למערערים. </w:t>
      </w:r>
    </w:p>
    <w:p w:rsidR="006B7836" w:rsidRDefault="006B7836" w:rsidP="006B7836">
      <w:pPr>
        <w:spacing w:line="360" w:lineRule="auto"/>
        <w:ind w:left="288" w:right="-284"/>
        <w:jc w:val="both"/>
        <w:rPr>
          <w:rFonts w:ascii="David" w:hAnsi="David"/>
          <w:sz w:val="28"/>
          <w:szCs w:val="28"/>
          <w:rtl/>
        </w:rPr>
      </w:pPr>
      <w:r>
        <w:rPr>
          <w:rFonts w:ascii="David" w:hAnsi="David"/>
          <w:sz w:val="28"/>
          <w:szCs w:val="28"/>
          <w:rtl/>
        </w:rPr>
        <w:t xml:space="preserve">אין בידינו לקבל טענה זו של המערערים. אנו סבורים, כי ככל שמדובר בנפגע עבודה המעסיק עובד סיעודי זר, לא נפל פגם בקביעה העקרונית של המוסד וקופות החולים כי שיעור השתתפות הקופה במימון טיפול רפואי סיעודי (עת אושר לנפגע עבודה טיפול סיעודי רפואי בהיקף של 8 שעות) עומד על שליש מעלות העסקתו של העובד הזר. </w:t>
      </w:r>
    </w:p>
    <w:p w:rsidR="006B7836" w:rsidRDefault="006B7836" w:rsidP="006B7836">
      <w:pPr>
        <w:spacing w:line="360" w:lineRule="auto"/>
        <w:ind w:left="288" w:right="-284"/>
        <w:jc w:val="both"/>
        <w:rPr>
          <w:rFonts w:ascii="David" w:hAnsi="David"/>
          <w:sz w:val="28"/>
          <w:szCs w:val="28"/>
        </w:rPr>
      </w:pPr>
      <w:r>
        <w:rPr>
          <w:rFonts w:ascii="David" w:hAnsi="David"/>
          <w:sz w:val="28"/>
          <w:szCs w:val="28"/>
          <w:rtl/>
        </w:rPr>
        <w:t xml:space="preserve">כאמור, מהות התשלום למימון טיפול סיעודי רפואי הוא החזר הוצאות בפועל שבהן נשא נפגע העבודה בעד טיפול סיעודי רפואי. נוכח האמור, לא ניתן לנתק בין תחשיב מימון הטיפול הסיעודי רפואי שבו חבה קופת החולים לבין מתכונת ההעסקה של העובד הסיעודי, ממנה נגזרות ההוצאות בפועל של נפגע עבודה – העסקת עובד על בסיס שעות עבודה או העסקת עובד זר במתכונת הייחודית המקובלת לגבי עובדים זרים. אכן, כפי שטען מר בגו, לא נערכה בדיקה אמפירית שבה נמדדה פעילותם של העובדים הזרים תוך פירוק ומיון פעולותיהם ל"תת פעילות" של עזרה סיעודית רפואית לעומת "תת פעילות" של עזרה אחרת, והטעם לכך הוא שבלתי אפשרי להגדיר במדויק את השעות שבהן עוסק העובד הזר במתן טיפול רפואי סיעודי, במיוחד שפעמים רבות הוא משולב במתן הטיפול הסיעודי הכללי (כגון - מריחת משחה לאחר רחצה). זאת, כשם שלא ניתן להגדיר במדויק את שעות העבודה של העובד הזר, עת יש שעות רבות שבהן הוא עומד לרשות המטופל במובן זה שהוא זמין לטיפול בצרכיו של המטופל במקביל לכך שבשעות אלה הוא עוסק בענייניו, אוכל, נח או ישן. כמו כן, ניתן להניח כי ברוב המכריע של המקרים מספר השעות ביום שהעובד הזר עוסק בטיפול סיעודי רפואי אינו אחיד, אלא משתנה מעת לעת בהתאם לצרכים, ובחלק מהמקרים אף נופל משמונה שעות ביום. משתשלום שכר מינימום (או השכר המוסכם) בעד משרה מלאה מהווה תשלום בעד מלוא יום העבודה של המטפל הסיעודי הנפרס על פני 24 שעות ביממה, גם אם אינו עובד 24 שעות ביממה, אנו סבורים כי קביעה שמימון </w:t>
      </w:r>
      <w:r>
        <w:rPr>
          <w:rFonts w:ascii="David" w:hAnsi="David"/>
          <w:sz w:val="28"/>
          <w:szCs w:val="28"/>
          <w:rtl/>
        </w:rPr>
        <w:lastRenderedPageBreak/>
        <w:t xml:space="preserve">הקופה בעד שמונה שעות טיפול סיעודי רפואי יעמוד על של שליש התשלום בעד יום עבודה, דהיינו שליש מעלות העסקתו של העובד הזר, היא סבירה. </w:t>
      </w:r>
    </w:p>
    <w:p w:rsidR="006B7836" w:rsidRDefault="006B7836" w:rsidP="006B7836">
      <w:pPr>
        <w:spacing w:line="360" w:lineRule="auto"/>
        <w:ind w:left="288" w:right="-284"/>
        <w:jc w:val="both"/>
        <w:rPr>
          <w:rFonts w:ascii="David" w:hAnsi="David"/>
          <w:sz w:val="28"/>
          <w:szCs w:val="28"/>
          <w:rtl/>
        </w:rPr>
      </w:pPr>
      <w:r>
        <w:rPr>
          <w:rFonts w:ascii="David" w:hAnsi="David"/>
          <w:sz w:val="28"/>
          <w:szCs w:val="28"/>
          <w:rtl/>
        </w:rPr>
        <w:t xml:space="preserve">קבלת טענת המערערים, שלפיה מימון הקופה צריך לעמוד על עלות ההעסקה המלאה של שמונה שעות עבודה משמעותה המעשית היא כי הקופה תממן את מלוא הטיפול הסיעודי לו נזקק נפגע עבודה, הן הטיפול הסיעודי הכללי והן הטיפול הסיעודי הרפואי, בעוד שעל פי החוק והתקנות חבותה היא במימון הטיפול הסיעודי הרפואי בלבד, ולמימון הטיפול הסיעודי הכללי מיועדת הקצבה המיוחדת, או לפחות חלקה. </w:t>
      </w:r>
    </w:p>
    <w:p w:rsidR="006B7836" w:rsidRDefault="006B7836" w:rsidP="006B7836">
      <w:pPr>
        <w:numPr>
          <w:ilvl w:val="0"/>
          <w:numId w:val="1"/>
        </w:numPr>
        <w:spacing w:line="360" w:lineRule="auto"/>
        <w:ind w:left="288" w:right="-284" w:hanging="432"/>
        <w:jc w:val="both"/>
        <w:rPr>
          <w:rFonts w:ascii="David" w:hAnsi="David"/>
          <w:sz w:val="28"/>
          <w:szCs w:val="28"/>
          <w:rtl/>
        </w:rPr>
      </w:pPr>
      <w:r>
        <w:rPr>
          <w:rFonts w:ascii="David" w:hAnsi="David"/>
          <w:sz w:val="28"/>
          <w:szCs w:val="28"/>
          <w:rtl/>
        </w:rPr>
        <w:t xml:space="preserve">נדגיש, כי אין לקבל את טענת המוסד וקופות החולים שלפיה אין המערערים יכולים להעלות טענות כנגד שיעור התשלום או תחשיב התשלום בעד טיפול סיעודי רפואי נוכח העובדה שסכום הקצבה המיוחדת לבדו או צירוף סכום הקצבה המיוחדת ותשלום השתתפות הקופה גבוה מעלות העסקתו של העובד הזר. חבות הקופה במימון טיפול סיעודי רפואי עומדת בפני עצמה, ועל הקופה לממן את הטיפול הסיעודי הרפואי </w:t>
      </w:r>
      <w:r>
        <w:rPr>
          <w:rFonts w:ascii="David" w:hAnsi="David"/>
          <w:b/>
          <w:bCs/>
          <w:sz w:val="28"/>
          <w:szCs w:val="28"/>
          <w:rtl/>
        </w:rPr>
        <w:t>ללא קשר לסכום הקצבה המיוחדת, וגם אם סכום הקצבה המיוחדת עולה על עלות העסקתו של העובד הזר.</w:t>
      </w:r>
      <w:r>
        <w:rPr>
          <w:rFonts w:ascii="David" w:hAnsi="David"/>
          <w:sz w:val="28"/>
          <w:szCs w:val="28"/>
          <w:rtl/>
        </w:rPr>
        <w:t xml:space="preserve"> כאמור, הקצבה המיוחדת משולמת </w:t>
      </w:r>
      <w:r>
        <w:rPr>
          <w:rFonts w:ascii="David" w:hAnsi="David"/>
          <w:b/>
          <w:bCs/>
          <w:sz w:val="28"/>
          <w:szCs w:val="28"/>
          <w:rtl/>
        </w:rPr>
        <w:t>בנוסף</w:t>
      </w:r>
      <w:r>
        <w:rPr>
          <w:rFonts w:ascii="David" w:hAnsi="David"/>
          <w:sz w:val="28"/>
          <w:szCs w:val="28"/>
          <w:rtl/>
        </w:rPr>
        <w:t xml:space="preserve"> לכל גמלה ובהעדר הוראה מפורשת אין להפחית מסכום הקצבה המיוחדת את התשלום שמשלמת קופת חולים שנועד למימון טיפול סיעודי רפואי. בהקשר זה נזכיר כי אכן תכלית עיקרית של הקצבה המיוחדת היא מימון הטיפול הסיעודי אולם אין זו התכלית הבלעדית, והיא מיועדת גם למימון צרכים אחרים של נפגע עבודה. לפיכך, ככל שנותרים בידי נפגע עבודה כספים מהקצבה המיוחדת, אין מדובר ב"תשלום עודף", אלא בתשלום שהוא זכאי לו למימון צרכים נוספים על מימון העסקת העובד הסיעודי. </w:t>
      </w:r>
    </w:p>
    <w:p w:rsidR="006B7836" w:rsidRDefault="006B7836" w:rsidP="006B7836">
      <w:pPr>
        <w:numPr>
          <w:ilvl w:val="0"/>
          <w:numId w:val="1"/>
        </w:numPr>
        <w:spacing w:line="360" w:lineRule="auto"/>
        <w:ind w:left="288" w:right="-284" w:hanging="432"/>
        <w:jc w:val="both"/>
        <w:rPr>
          <w:rFonts w:ascii="David" w:hAnsi="David"/>
          <w:sz w:val="28"/>
          <w:szCs w:val="28"/>
          <w:rtl/>
        </w:rPr>
      </w:pPr>
      <w:r>
        <w:rPr>
          <w:rFonts w:ascii="David" w:hAnsi="David"/>
          <w:sz w:val="28"/>
          <w:szCs w:val="28"/>
          <w:rtl/>
        </w:rPr>
        <w:t xml:space="preserve">אשר לתחשיב סכום השתתפות הקופה בשיעור של 1/3 מעלות העסקת העובד הסיעודי הזר: על פי הסכם 2003 הסכום שאותו על קופת החולים לשלם לנפגע עבודה הוא </w:t>
      </w:r>
      <w:r>
        <w:rPr>
          <w:rFonts w:ascii="David" w:hAnsi="David"/>
          <w:b/>
          <w:bCs/>
          <w:sz w:val="28"/>
          <w:szCs w:val="28"/>
          <w:rtl/>
        </w:rPr>
        <w:t>"סכום ההוצאות הממשיות שיוצאו על ידי מקבל השירות כפי שייקבעו על ידי הקופה והמוסד, ובלבד שסכום זה לא יעלה על הסכום המקסימלי המשתלם עבור אישפוז במוסד רפואי המתאים למתן השירותים הרפואיים הדרושים למבוטח לפי קביעת הקופה"</w:t>
      </w:r>
      <w:r>
        <w:rPr>
          <w:rFonts w:ascii="David" w:hAnsi="David"/>
          <w:sz w:val="28"/>
          <w:szCs w:val="28"/>
          <w:rtl/>
        </w:rPr>
        <w:t>.</w:t>
      </w:r>
      <w:r>
        <w:rPr>
          <w:rFonts w:ascii="David" w:hAnsi="David"/>
          <w:b/>
          <w:bCs/>
          <w:sz w:val="28"/>
          <w:szCs w:val="28"/>
          <w:rtl/>
        </w:rPr>
        <w:t xml:space="preserve"> </w:t>
      </w:r>
      <w:r>
        <w:rPr>
          <w:rFonts w:ascii="David" w:hAnsi="David"/>
          <w:sz w:val="28"/>
          <w:szCs w:val="28"/>
          <w:rtl/>
        </w:rPr>
        <w:t xml:space="preserve">על פי מסמך הקווים המנחים, סכום השתתפות הקופה הוא </w:t>
      </w:r>
      <w:r>
        <w:rPr>
          <w:rFonts w:ascii="David" w:hAnsi="David"/>
          <w:b/>
          <w:bCs/>
          <w:sz w:val="28"/>
          <w:szCs w:val="28"/>
          <w:rtl/>
        </w:rPr>
        <w:t>"1/3 מעלות המטפל"</w:t>
      </w:r>
      <w:r>
        <w:rPr>
          <w:rFonts w:ascii="David" w:hAnsi="David"/>
          <w:sz w:val="28"/>
          <w:szCs w:val="28"/>
          <w:rtl/>
        </w:rPr>
        <w:t xml:space="preserve">. מכאן, כי הן על פי הסכם 2003 שלפיו על הקופה לשלם את סכום </w:t>
      </w:r>
      <w:r>
        <w:rPr>
          <w:rFonts w:ascii="David" w:hAnsi="David"/>
          <w:b/>
          <w:bCs/>
          <w:sz w:val="28"/>
          <w:szCs w:val="28"/>
          <w:rtl/>
        </w:rPr>
        <w:t xml:space="preserve">"ההוצאות הממשיות" </w:t>
      </w:r>
      <w:r>
        <w:rPr>
          <w:rFonts w:ascii="David" w:hAnsi="David"/>
          <w:sz w:val="28"/>
          <w:szCs w:val="28"/>
          <w:rtl/>
        </w:rPr>
        <w:t>והן על פי מסמך הקווים המנחים שלפיו על הקופה לשלם שליש מ</w:t>
      </w:r>
      <w:r>
        <w:rPr>
          <w:rFonts w:ascii="David" w:hAnsi="David"/>
          <w:b/>
          <w:bCs/>
          <w:sz w:val="28"/>
          <w:szCs w:val="28"/>
          <w:rtl/>
        </w:rPr>
        <w:t xml:space="preserve">"עלות ההעסקה", </w:t>
      </w:r>
      <w:r>
        <w:rPr>
          <w:rFonts w:ascii="David" w:hAnsi="David"/>
          <w:sz w:val="28"/>
          <w:szCs w:val="28"/>
          <w:rtl/>
        </w:rPr>
        <w:t xml:space="preserve">חבות קופת החולים אינה מצומצמת למימון שליש </w:t>
      </w:r>
      <w:r>
        <w:rPr>
          <w:rFonts w:ascii="David" w:hAnsi="David"/>
          <w:b/>
          <w:bCs/>
          <w:sz w:val="28"/>
          <w:szCs w:val="28"/>
          <w:rtl/>
        </w:rPr>
        <w:t>משכרו</w:t>
      </w:r>
      <w:r>
        <w:rPr>
          <w:rFonts w:ascii="David" w:hAnsi="David"/>
          <w:sz w:val="28"/>
          <w:szCs w:val="28"/>
          <w:rtl/>
        </w:rPr>
        <w:t xml:space="preserve"> של העובד הסיעודי הזר אלא עליה לממן שליש </w:t>
      </w:r>
      <w:r>
        <w:rPr>
          <w:rFonts w:ascii="David" w:hAnsi="David"/>
          <w:b/>
          <w:bCs/>
          <w:sz w:val="28"/>
          <w:szCs w:val="28"/>
          <w:u w:val="single"/>
          <w:rtl/>
        </w:rPr>
        <w:t>מעלות</w:t>
      </w:r>
      <w:r>
        <w:rPr>
          <w:rFonts w:ascii="David" w:hAnsi="David"/>
          <w:sz w:val="28"/>
          <w:szCs w:val="28"/>
          <w:rtl/>
        </w:rPr>
        <w:t xml:space="preserve"> העסקתו. על כן, בתחשיב סכום </w:t>
      </w:r>
      <w:r>
        <w:rPr>
          <w:rFonts w:ascii="David" w:hAnsi="David"/>
          <w:sz w:val="28"/>
          <w:szCs w:val="28"/>
          <w:rtl/>
        </w:rPr>
        <w:lastRenderedPageBreak/>
        <w:t xml:space="preserve">השתתפות הקופה יש להביא בחשבון גם את עלות התנאים הסוציאליים שבהם חב המעסיק (חופשה, חגים, הבראה, הפקדות לקרן פנסיה וכיו"ב) ועלויות נוספות החלות על המעסיק. זאת ועוד. בהתאם לפסיקה [ע"ע (ארצי)47576-10-12 </w:t>
      </w:r>
      <w:r>
        <w:rPr>
          <w:rFonts w:ascii="David" w:hAnsi="David"/>
          <w:b/>
          <w:bCs/>
          <w:sz w:val="28"/>
          <w:szCs w:val="28"/>
          <w:rtl/>
        </w:rPr>
        <w:t>אריה זטלמן ז"ל – ולנטינה פטרוב</w:t>
      </w:r>
      <w:r>
        <w:rPr>
          <w:rFonts w:ascii="David" w:hAnsi="David"/>
          <w:sz w:val="28"/>
          <w:szCs w:val="28"/>
          <w:rtl/>
        </w:rPr>
        <w:t xml:space="preserve"> (7.7.2016)], עובד סיעודי זר זכאי למנוחה שבועית, ולגמול בעד עבודה במנוחה שבועית ככל שהוא עובד במנוחה שבועית. נפגע עבודה זכאי למימון הטיפול הרפואי הסיעודי במשך כל ימות השבוע, לרבות יום המנוחה השבועית של המטפל הסיעודי. על כן, על הקופה לשאת גם בשליש עלות העסקת עובד מחליף במנוחה השבועית או בתשלום גמול מנוחה שבועית. נציין, כי בטיעון לפנינו אישרה ב"כ המוסד כי מימון שליש מעלות העסקת עובד זר כולל גם את הזכויות הנלוות לשכר וגם את עלות העסקת המחליף בסוף שבוע (פרוטוקול 30.4.2018, ע' 5 – 7).</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b/>
          <w:bCs/>
          <w:sz w:val="28"/>
          <w:szCs w:val="28"/>
          <w:rtl/>
        </w:rPr>
        <w:t>כללו של דבר</w:t>
      </w:r>
      <w:r>
        <w:rPr>
          <w:rFonts w:ascii="David" w:hAnsi="David"/>
          <w:sz w:val="28"/>
          <w:szCs w:val="28"/>
          <w:rtl/>
        </w:rPr>
        <w:t>: אנו קובעים כי ככלל בנסיבות בהן נפגע עבודה שאושרו לו שמונה שעות סיעוד רפואי מעסיק עובד סיעודי זר, הקביעה כי ככלל תשלום הקופה למימון טיפול סיעודי רפואי בביתו של נפגע העבודה עומדת על שליש מ</w:t>
      </w:r>
      <w:r>
        <w:rPr>
          <w:rFonts w:ascii="David" w:hAnsi="David"/>
          <w:b/>
          <w:bCs/>
          <w:sz w:val="28"/>
          <w:szCs w:val="28"/>
          <w:rtl/>
        </w:rPr>
        <w:t>עלות העסקתו</w:t>
      </w:r>
      <w:r>
        <w:rPr>
          <w:rFonts w:ascii="David" w:hAnsi="David"/>
          <w:sz w:val="28"/>
          <w:szCs w:val="28"/>
          <w:rtl/>
        </w:rPr>
        <w:t xml:space="preserve"> של העובד הזר (ולא משכרו בלבד) אינה נוגדת את הוראות החוק והתקנות. עם זאת, ככל שיוכח כי נפגע עבודה זכאי ליותר מ- 8 שעות סיעוד רפואי, יש להתאים לכך גם את שיעור תשלום הקופה בעד טיפול סיעודי רפואי. </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b/>
          <w:bCs/>
          <w:sz w:val="28"/>
          <w:szCs w:val="28"/>
          <w:rtl/>
        </w:rPr>
        <w:t>על יסוד האמור, יש לבחון האם הוכח כי המנוח ומר בגו זכאים לתשלומים נוספים מעבר לתשלומים ששולמו להם על ידי לאומית והכללית.</w:t>
      </w:r>
      <w:r>
        <w:rPr>
          <w:rFonts w:ascii="David" w:hAnsi="David"/>
          <w:sz w:val="28"/>
          <w:szCs w:val="28"/>
          <w:rtl/>
        </w:rPr>
        <w:t xml:space="preserve"> נסקור תחילה את הראיות שהונחו בעניין זה בהליכים בבית הדין האזורי ואת קביעות בית הדין האזורי. </w:t>
      </w:r>
    </w:p>
    <w:p w:rsidR="006B7836" w:rsidRDefault="006B7836" w:rsidP="006B7836">
      <w:pPr>
        <w:numPr>
          <w:ilvl w:val="0"/>
          <w:numId w:val="1"/>
        </w:numPr>
        <w:spacing w:line="360" w:lineRule="auto"/>
        <w:ind w:left="288" w:right="-284"/>
        <w:jc w:val="both"/>
        <w:rPr>
          <w:rFonts w:ascii="David" w:hAnsi="David"/>
          <w:sz w:val="28"/>
          <w:szCs w:val="28"/>
        </w:rPr>
      </w:pPr>
      <w:r>
        <w:rPr>
          <w:rFonts w:ascii="David" w:hAnsi="David"/>
          <w:sz w:val="28"/>
          <w:szCs w:val="28"/>
          <w:rtl/>
        </w:rPr>
        <w:t xml:space="preserve">בעניין </w:t>
      </w:r>
      <w:r>
        <w:rPr>
          <w:rFonts w:ascii="David" w:hAnsi="David"/>
          <w:b/>
          <w:bCs/>
          <w:sz w:val="28"/>
          <w:szCs w:val="28"/>
          <w:rtl/>
        </w:rPr>
        <w:t>נאמן</w:t>
      </w:r>
      <w:r>
        <w:rPr>
          <w:rFonts w:ascii="David" w:hAnsi="David"/>
          <w:sz w:val="28"/>
          <w:szCs w:val="28"/>
          <w:rtl/>
        </w:rPr>
        <w:t>, על פי האמור בסיכומי הטענות של לאומית בבית הדין האזורי, התקרה לתשלום היא שליש מ- 4,950 ₪ שהוגדר על ידה בסיכומי הטענות כ"סכום המלא", ובהתאם שולם למנוח סך של 1,650 ₪. נציין, כי בתצהירה של גב' אירית פינק - פרידרפטינג, מנהלת מחלקת ארגון שירותים רפואיים באגף הרכש ובקרה של לאומית,  כלל לא פורט סכום התקרה, ומובן כי לא ניתן כל הסבר או פירוט תחשיב לסכום זה, לרבות הסבר לכך שסך של 4,950 ₪</w:t>
      </w:r>
      <w:r>
        <w:rPr>
          <w:rFonts w:asciiTheme="minorHAnsi" w:hAnsiTheme="minorHAnsi"/>
          <w:sz w:val="28"/>
          <w:szCs w:val="28"/>
          <w:rtl/>
        </w:rPr>
        <w:t xml:space="preserve"> </w:t>
      </w:r>
      <w:r>
        <w:rPr>
          <w:rFonts w:ascii="David" w:hAnsi="David"/>
          <w:sz w:val="28"/>
          <w:szCs w:val="28"/>
          <w:rtl/>
        </w:rPr>
        <w:t xml:space="preserve">משקף את מלוא עלות העסקתו של עובד זר. בעדותה הבהירה גב' פינק – פרידרפטינג כי </w:t>
      </w:r>
      <w:r>
        <w:rPr>
          <w:rFonts w:ascii="David" w:hAnsi="David"/>
          <w:b/>
          <w:bCs/>
          <w:sz w:val="28"/>
          <w:szCs w:val="28"/>
          <w:rtl/>
        </w:rPr>
        <w:t xml:space="preserve">"..יש מקסימום קבוע שהוא 1,650 ₪. אף אחד לא יכול לקבל מבחינתנו מעבר לסכום הזה עבור טיפול סיעודי רפואי" </w:t>
      </w:r>
      <w:r>
        <w:rPr>
          <w:rFonts w:ascii="David" w:hAnsi="David"/>
          <w:sz w:val="28"/>
          <w:szCs w:val="28"/>
          <w:rtl/>
        </w:rPr>
        <w:t xml:space="preserve">(פרוטוקול 15.12.2014, ע' 38, ש' 8 – 10). כן הבהירה בעדותה כי </w:t>
      </w:r>
      <w:r>
        <w:rPr>
          <w:rFonts w:ascii="David" w:hAnsi="David"/>
          <w:b/>
          <w:bCs/>
          <w:sz w:val="28"/>
          <w:szCs w:val="28"/>
          <w:rtl/>
        </w:rPr>
        <w:t>"המקסימום הנגזרת של שכר עובד סיעודי זר במשק, הקופה היא גוף ציבורי והדבר הזה פרוץ אם אתה לא מגדיר את השכר, אפשר להגיע גם לשכר מופרז"</w:t>
      </w:r>
      <w:r>
        <w:rPr>
          <w:rFonts w:ascii="David" w:hAnsi="David"/>
          <w:sz w:val="28"/>
          <w:szCs w:val="28"/>
          <w:rtl/>
        </w:rPr>
        <w:t xml:space="preserve"> (שם ע' 39, ש' 12 – 13). נציין, כי על פי עדותו של מר איפרגן שהעיד מטעם המוסד בעניין נאמן, בירור שערך </w:t>
      </w:r>
      <w:r>
        <w:rPr>
          <w:rFonts w:ascii="David" w:hAnsi="David"/>
          <w:sz w:val="28"/>
          <w:szCs w:val="28"/>
          <w:rtl/>
        </w:rPr>
        <w:lastRenderedPageBreak/>
        <w:t xml:space="preserve">בשירותי בריאות כללית העלה כי סכום ההשתתפות של הכללית הוא בין 2000 ל- 2,600 ₪, וזאת על יסוד עלות שכר ותנאים סוציאליים של העובד הסיעודי הזר (שם, ע' 32, ש' 12 – 13). </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sz w:val="28"/>
          <w:szCs w:val="28"/>
          <w:rtl/>
        </w:rPr>
        <w:t xml:space="preserve">בעניינו של </w:t>
      </w:r>
      <w:r>
        <w:rPr>
          <w:rFonts w:ascii="David" w:hAnsi="David"/>
          <w:b/>
          <w:bCs/>
          <w:sz w:val="28"/>
          <w:szCs w:val="28"/>
          <w:rtl/>
        </w:rPr>
        <w:t>מר בגו</w:t>
      </w:r>
      <w:r>
        <w:rPr>
          <w:rFonts w:ascii="David" w:hAnsi="David"/>
          <w:sz w:val="28"/>
          <w:szCs w:val="28"/>
          <w:rtl/>
        </w:rPr>
        <w:t xml:space="preserve">, טען ב"כ הכללית לפנינו כי </w:t>
      </w:r>
      <w:r>
        <w:rPr>
          <w:rFonts w:ascii="David" w:hAnsi="David"/>
          <w:b/>
          <w:bCs/>
          <w:sz w:val="28"/>
          <w:szCs w:val="28"/>
          <w:rtl/>
        </w:rPr>
        <w:t>"עלות ההעסקה הקבועה בהסכם התייחסה וכללה גם את אותם זכויות נלוות של העובד הזר וגם לעובד זר מחליף לרבות סופי שבוע"</w:t>
      </w:r>
      <w:r>
        <w:rPr>
          <w:rFonts w:ascii="David" w:hAnsi="David"/>
          <w:sz w:val="28"/>
          <w:szCs w:val="28"/>
          <w:rtl/>
        </w:rPr>
        <w:t xml:space="preserve"> (פרוטוקול ע' 10, ש' 15 – 16). אולם, כאמור, בהסכם 2003 לא נקבעה</w:t>
      </w:r>
      <w:r>
        <w:rPr>
          <w:rFonts w:ascii="David" w:hAnsi="David"/>
          <w:b/>
          <w:bCs/>
          <w:sz w:val="28"/>
          <w:szCs w:val="28"/>
          <w:rtl/>
        </w:rPr>
        <w:t xml:space="preserve"> </w:t>
      </w:r>
      <w:r>
        <w:rPr>
          <w:rFonts w:ascii="David" w:hAnsi="David"/>
          <w:sz w:val="28"/>
          <w:szCs w:val="28"/>
          <w:rtl/>
        </w:rPr>
        <w:t xml:space="preserve">עלות העסקה מוגדרת, אלא רק תקרה לתשלום. בעניין </w:t>
      </w:r>
      <w:r>
        <w:rPr>
          <w:rFonts w:ascii="David" w:hAnsi="David"/>
          <w:b/>
          <w:bCs/>
          <w:sz w:val="28"/>
          <w:szCs w:val="28"/>
          <w:rtl/>
        </w:rPr>
        <w:t>מר בגו</w:t>
      </w:r>
      <w:r>
        <w:rPr>
          <w:rFonts w:ascii="David" w:hAnsi="David"/>
          <w:sz w:val="28"/>
          <w:szCs w:val="28"/>
          <w:rtl/>
        </w:rPr>
        <w:t xml:space="preserve">, בחומר הראיות בבית הדין האזורי לא הובהר מדוע הועמד סכום ההשתתפות של הקופה על סך של 600 $, כיצד הוא נקבע, והאם נבחן מעת לעת הצורך בעדכון הסכום שכאמור נקבע בשנת 1998. כך, מר שלמה שטיינריך, ראש מדור נפגעי עבודה בהנהלה הראשית של הכללית לא יכול היה ליתן הסבר לסכום זה, ובאשר לקביעת הסכום בדולרים הסביר כי הסכום הוצמד לדולר כיוון שבשעתו שכר העובדים הזרים ננקב בדולרים (פרוטוקול 14.12.2016 ע' 16, ש' 1 – 23). הכללית הגישה כנספח לתצהירו של מר שטיינריך חוות דעת של מר גדעון האס בעניין עלות חודשית של העסקת עובד זר שבה הוצגו שלוש חלופות: 8,473 ₪ (מטפל זר ומחליף ישראלי לסוף שבוע); 7,701 ₪ (מטפל זר ומחליף זר לסוף שבוע); 6,592 ₪ לחודש, מטפל זר ללא מחליף לסוף שבוע. החלופה השלישית אינה רלוונטית נוכח מצבו הסיעודי של מר בגו, ויש קושי גם בחלופה השנייה, שכן למעט אם ניתן היתר להעסקת שני עובדים זרים, לא ניתן להעסיק באופן חוקי עובד זר כעובד מחליף בסוף שבוע. נכון לחודש נובמבר 2014 (מועד תן חוות דעתו של מר האס) שער הדולר בחודש נובמבר 2014 עמד על כ- 3.80 ₪ ושווי תשלום הקופה בסך 600 $ בשקלים עמד על סך של 2,280 ₪. לגרסת מר בגו בתצהירו, הסכום ששילמה לו הקופה מאז שנת 2010 עומד על 2,250 ₪ לחודש. סכום זה נמוך משליש עלות העסקת מטפל סיעודי על פי שתי החלופות הרלוונטיות בחוות דעתו של מר גדעון האס. </w:t>
      </w:r>
    </w:p>
    <w:p w:rsidR="006B7836" w:rsidRDefault="006B7836" w:rsidP="006B7836">
      <w:pPr>
        <w:spacing w:line="360" w:lineRule="auto"/>
        <w:ind w:left="288" w:right="-284"/>
        <w:jc w:val="both"/>
        <w:rPr>
          <w:rFonts w:ascii="David" w:hAnsi="David"/>
          <w:sz w:val="28"/>
          <w:szCs w:val="28"/>
        </w:rPr>
      </w:pPr>
      <w:r>
        <w:rPr>
          <w:rFonts w:ascii="David" w:hAnsi="David"/>
          <w:sz w:val="28"/>
          <w:szCs w:val="28"/>
          <w:rtl/>
        </w:rPr>
        <w:t xml:space="preserve">נציין, כי חוות דעתו של מר האס מבוססת על כך שמשולם לעובד שכר מינימום (נכון למועד מתן חוות הדעת 4,300 ₪ לחודש). מנגד, מר בגו העיד בתצהירו כי בשל היותו נכה סיעודי מורכב שהטיפול בו הוא מאד תובעני הוא מתקשה לאתר עובדים זרים להעסקה אצלו, שכן הם מעדיפים לעבוד אצל קשישים שיכולים לעשות חלק מהפעולות בעצמם, ועליו להציע שכר גבוה מהמקובל. מר בגו הגיש חוות דעת מומחה מטעמו, של מר ניר הריס, בעלים של חברות העוסקות במתן שירותי סיעוד לנכים קשים. על פי חוות דעתו, בשל צרכיו המיוחדים וקושי העבודה עובד זר יקבל שכר </w:t>
      </w:r>
      <w:r>
        <w:rPr>
          <w:rFonts w:ascii="David" w:hAnsi="David"/>
          <w:sz w:val="28"/>
          <w:szCs w:val="28"/>
          <w:rtl/>
        </w:rPr>
        <w:lastRenderedPageBreak/>
        <w:t>גבוה יותר מהשכר המקובל לעניין מטפל בקשיש, ועל פי חוות דעתו עלות העסקתו של עובד זר ועובד מחליף ישראלי עומדת על סך של 11,582 ₪ לחודש. מכאן, כי על פי חוות דעת זו, שליש מעלות העסקתו של עובד זר עומדת על סך של 3,860 ₪. מר בגו לא פירט בתצהירו את עלות העסקת העובדים הזרים שהעסיק במהלך התקופה הרלוונטית לכתב התביעה, ולא צירף אסמכתאות המעידות על הכספים ששילם להם, להבדיל מאישורים חתומים על ידי העובדים הזרים על עצם העסקתם. במכתב שכתב לכללית בשנת 1998, לאחר הודעתה כי התשלום יועמד על סך של 600$ פירט מר בגו את עלות העסקת עובד זר לחודש, וטען כי עלות העסקת עובד זר עומדת על סך של 4,781 ₪. על פי הנטען על ידי מר בגו, במועד זה שילמה לו הקופה סך של 2,750 ₪, דהיינו למעלה מ- 50% מעלות העסקת עובד זר. בית הדין האזורי דחה את תביעתו של מר בגו, מהטעם שמר בגו לא הגיש כל ראיה פוזיטיבית שיש בה להצביע על עלות העסקת העובד הזר בשנים הרלוונטיות לתביעה. אשר לחוות הדעת שהוגשה מטעמו של מר בגו קבע בית הדין האזורי כי לא ניתן להסתמך עליה, נוכח העובדה כי לאורך השנים השתנה שכרם של העובדים בישראל בכלל, ושל העובדים הזרים בפרט, הן בשל עדכון שכר המינימום מעת לעת; הן בשל עדכון תוספות שכר שונות; והן בשל עדכון ההפקדות לפנסיה. חרף זאת, חוות הדעת שהגיש מר בגו הייתה ליניארית, והתייחסה אך לשנת 2016, מבלי לקחת בחשבון את השינויים האמורים לאורך השנים.</w:t>
      </w:r>
    </w:p>
    <w:p w:rsidR="006B7836" w:rsidRDefault="006B7836" w:rsidP="006B7836">
      <w:pPr>
        <w:numPr>
          <w:ilvl w:val="0"/>
          <w:numId w:val="1"/>
        </w:numPr>
        <w:spacing w:line="360" w:lineRule="auto"/>
        <w:ind w:left="288" w:right="-284" w:hanging="432"/>
        <w:jc w:val="both"/>
        <w:rPr>
          <w:rFonts w:ascii="David" w:hAnsi="David"/>
          <w:b/>
          <w:bCs/>
          <w:sz w:val="28"/>
          <w:szCs w:val="28"/>
          <w:rtl/>
        </w:rPr>
      </w:pPr>
      <w:r>
        <w:rPr>
          <w:rFonts w:ascii="David" w:hAnsi="David"/>
          <w:b/>
          <w:bCs/>
          <w:sz w:val="28"/>
          <w:szCs w:val="28"/>
          <w:rtl/>
        </w:rPr>
        <w:t xml:space="preserve">לאחר בחינת טענות הצדדים וכלל חומר התיק אנו קובעים כמפורט להלן. </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sz w:val="28"/>
          <w:szCs w:val="28"/>
          <w:rtl/>
        </w:rPr>
        <w:t>נקודת המוצא לדיון היא שנפגע עבודה זכאי להחזר ההוצאות שהוציא בפועל בעד טיפול רפואי סיעודי, ובענייננו שליש מעלות העסקת העובד הזר. יחד עם זאת, מקובלת עלינו עמדת קופות החולים והמוסד, כי לא ניתן לקבוע שהזכאות היא לסכום ללא תקרה, על פי קביעת הנפגע בהסכם בינו לבין העובד הזר.</w:t>
      </w:r>
      <w:r>
        <w:rPr>
          <w:rFonts w:ascii="David" w:hAnsi="David"/>
          <w:b/>
          <w:bCs/>
          <w:sz w:val="28"/>
          <w:szCs w:val="28"/>
          <w:rtl/>
        </w:rPr>
        <w:t xml:space="preserve"> </w:t>
      </w:r>
      <w:r>
        <w:rPr>
          <w:rFonts w:ascii="David" w:hAnsi="David"/>
          <w:sz w:val="28"/>
          <w:szCs w:val="28"/>
          <w:rtl/>
        </w:rPr>
        <w:t xml:space="preserve">עמדה זו באה לידי ביטוי הן בהסכם 2003 והן במסמך הקווים המנחים. כך, על פי הסכם 2003 על קופת החולים לשלם לנפגע עבודה </w:t>
      </w:r>
      <w:r>
        <w:rPr>
          <w:rFonts w:ascii="David" w:hAnsi="David"/>
          <w:b/>
          <w:bCs/>
          <w:sz w:val="28"/>
          <w:szCs w:val="28"/>
          <w:rtl/>
        </w:rPr>
        <w:t>"את ההוצאות הממשיות שיוצאו ... כפי שייקבעו על ידי הקופה והמוסד"</w:t>
      </w:r>
      <w:r>
        <w:rPr>
          <w:rFonts w:ascii="David" w:hAnsi="David"/>
          <w:sz w:val="28"/>
          <w:szCs w:val="28"/>
          <w:rtl/>
        </w:rPr>
        <w:t xml:space="preserve">. על פי מסמך הקווים המנחים, שכאמור אין לו מעמד נורמטיבי, סכום ההשתתפות של הקופה הוא </w:t>
      </w:r>
      <w:r>
        <w:rPr>
          <w:rFonts w:ascii="David" w:hAnsi="David"/>
          <w:b/>
          <w:bCs/>
          <w:sz w:val="28"/>
          <w:szCs w:val="28"/>
          <w:rtl/>
        </w:rPr>
        <w:t>"שליש מעלות המטפל ולא יותר ממחיר שעת טיפול עבור מטופל האחראי בעצמו לקבלת הטיפול המפורסם בחוזר מרוכז"</w:t>
      </w:r>
      <w:r>
        <w:rPr>
          <w:rFonts w:ascii="David" w:hAnsi="David"/>
          <w:sz w:val="28"/>
          <w:szCs w:val="28"/>
          <w:rtl/>
        </w:rPr>
        <w:t>.</w:t>
      </w:r>
      <w:r>
        <w:rPr>
          <w:rFonts w:ascii="David" w:hAnsi="David"/>
          <w:b/>
          <w:bCs/>
          <w:sz w:val="28"/>
          <w:szCs w:val="28"/>
          <w:rtl/>
        </w:rPr>
        <w:t xml:space="preserve"> </w:t>
      </w:r>
      <w:r>
        <w:rPr>
          <w:rFonts w:ascii="David" w:hAnsi="David"/>
          <w:sz w:val="28"/>
          <w:szCs w:val="28"/>
          <w:rtl/>
        </w:rPr>
        <w:t xml:space="preserve">יחד עם  זאת, בשני ההליכים לא הוצגה ראייה על קביעה מוסמכת של המוסד והקופה לעניין שיעור התשלום. התמונה המצטיירת מהראיות בהליכים שלפנינו היא שכל קופה קבעה את סכום ההשתתפות על פי שיקול דעתה, עת לא הובררו השיקולים בקביעת הסכום. במקרים שלפנינו הייתה גם שונות משמעותית בין תשלומי קופות החולים: </w:t>
      </w:r>
      <w:r>
        <w:rPr>
          <w:rFonts w:ascii="David" w:hAnsi="David"/>
          <w:sz w:val="28"/>
          <w:szCs w:val="28"/>
          <w:rtl/>
        </w:rPr>
        <w:lastRenderedPageBreak/>
        <w:t xml:space="preserve">הלאומית שילמה סך של 1650 ₪, סכום נמוך משמעותית מהסכום ששילמה הכללית – 600 $. </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sz w:val="28"/>
          <w:szCs w:val="28"/>
          <w:rtl/>
        </w:rPr>
        <w:t xml:space="preserve">בכל הנוגע לקביעת סכום עלות ההעסקה, אנו סבורים כי </w:t>
      </w:r>
      <w:r>
        <w:rPr>
          <w:rFonts w:ascii="David" w:hAnsi="David"/>
          <w:b/>
          <w:bCs/>
          <w:sz w:val="28"/>
          <w:szCs w:val="28"/>
          <w:rtl/>
        </w:rPr>
        <w:t>נקודת המוצא</w:t>
      </w:r>
      <w:r>
        <w:rPr>
          <w:rFonts w:ascii="David" w:hAnsi="David"/>
          <w:sz w:val="28"/>
          <w:szCs w:val="28"/>
          <w:rtl/>
        </w:rPr>
        <w:t xml:space="preserve"> היא עלות העסקתו של עובד זר על פי הדין, דהיינו על יסוד תשלום שכר מינימום, תשלום כל הזכויות הסוציאליות המגיעות לעובד על פי הדין, ועלויות המעסיק הנוספות הכרוכות בהעסקת עובד זר. לפיכך, בכל מקרה, תשלום הקופה אינו יכול להיות נמוך משליש עלות העסקת עובד זר על פי הדין. יחד אם זאת, </w:t>
      </w:r>
      <w:r>
        <w:rPr>
          <w:rFonts w:ascii="David" w:hAnsi="David"/>
          <w:b/>
          <w:bCs/>
          <w:sz w:val="28"/>
          <w:szCs w:val="28"/>
          <w:rtl/>
        </w:rPr>
        <w:t>נקודת המוצא אינה נקודת הסיום</w:t>
      </w:r>
      <w:r>
        <w:rPr>
          <w:rFonts w:ascii="David" w:hAnsi="David"/>
          <w:sz w:val="28"/>
          <w:szCs w:val="28"/>
          <w:rtl/>
        </w:rPr>
        <w:t xml:space="preserve">. יש מקרים, שבהם נפגע העבודה יהיה זכאי למימון שליש מעלות העסקה גבוהה יותר מהעלות המתחייבת על פי הדין, ככל שיוצגו טעמים אובייקטיביים המצדיקים זאת והעלות הנוספת אינה חורגת מגדר הסביר. לדוגמא, ניתן לקבל כי נפגע עבודה נאלץ להסכים לשלם שכר גבוה יותר משכר מינימום במקרה שהצרכים הסיעודיים של נפגע עבודה מורכבים ורבים, או שהוא מתגורר באזור או ביישוב שעובדים סיעודיים זרים אינם מעוניינים לעבוד בו. </w:t>
      </w:r>
    </w:p>
    <w:p w:rsidR="006B7836" w:rsidRDefault="006B7836" w:rsidP="006B7836">
      <w:pPr>
        <w:spacing w:line="360" w:lineRule="auto"/>
        <w:ind w:left="288" w:right="-284"/>
        <w:jc w:val="both"/>
        <w:rPr>
          <w:rFonts w:ascii="David" w:hAnsi="David"/>
          <w:sz w:val="28"/>
          <w:szCs w:val="28"/>
        </w:rPr>
      </w:pPr>
      <w:r>
        <w:rPr>
          <w:rFonts w:ascii="David" w:hAnsi="David"/>
          <w:sz w:val="28"/>
          <w:szCs w:val="28"/>
          <w:rtl/>
        </w:rPr>
        <w:t xml:space="preserve">משמדובר בהחזר הוצאות, על נפגע העבודה להוכיח את שיעור השכר ששילם לעובד הזר. יש להביא בחשבון כי נפגעי העבודה אינם מעסיקים המנהלים הנהלת חשבונות, כך שאין לצפות כי יוצגו על ידם תלושי שכר או מסמכים מקבילים, ואכן במסמך קווים המנחים נקבע שדי בהצגת ההסכם עם המטפל הסיעודי והצהרת הנפגע שקיבל את הטיפול. בכל מקרה, על הקופה להבהיר לנפגע עבודה מראש איזה אסמכתאות עליו להציג לצורך ביצוע התשלומים, על מנת שייערך להכנת אסמכתאות אלה ושמירתן.  </w:t>
      </w:r>
    </w:p>
    <w:p w:rsidR="006B7836" w:rsidRDefault="006B7836" w:rsidP="006B7836">
      <w:pPr>
        <w:numPr>
          <w:ilvl w:val="0"/>
          <w:numId w:val="1"/>
        </w:numPr>
        <w:spacing w:line="360" w:lineRule="auto"/>
        <w:ind w:left="288" w:right="-284" w:hanging="432"/>
        <w:jc w:val="both"/>
        <w:rPr>
          <w:rFonts w:ascii="David" w:hAnsi="David"/>
          <w:b/>
          <w:bCs/>
          <w:sz w:val="28"/>
          <w:szCs w:val="28"/>
          <w:rtl/>
        </w:rPr>
      </w:pPr>
      <w:r>
        <w:rPr>
          <w:rFonts w:ascii="David" w:hAnsi="David"/>
          <w:b/>
          <w:bCs/>
          <w:sz w:val="28"/>
          <w:szCs w:val="28"/>
          <w:rtl/>
        </w:rPr>
        <w:t xml:space="preserve">ומן הכלל אל הפרט: </w:t>
      </w:r>
    </w:p>
    <w:p w:rsidR="006B7836" w:rsidRDefault="006B7836" w:rsidP="006B7836">
      <w:pPr>
        <w:spacing w:line="360" w:lineRule="auto"/>
        <w:ind w:left="720" w:right="-284" w:hanging="360"/>
        <w:jc w:val="both"/>
        <w:rPr>
          <w:rFonts w:ascii="David" w:hAnsi="David"/>
          <w:sz w:val="28"/>
          <w:szCs w:val="28"/>
        </w:rPr>
      </w:pPr>
      <w:r>
        <w:rPr>
          <w:rFonts w:ascii="David" w:hAnsi="David"/>
          <w:b/>
          <w:bCs/>
          <w:sz w:val="28"/>
          <w:szCs w:val="28"/>
          <w:rtl/>
        </w:rPr>
        <w:t>א.</w:t>
      </w:r>
      <w:r>
        <w:rPr>
          <w:rFonts w:ascii="David" w:hAnsi="David"/>
          <w:b/>
          <w:bCs/>
          <w:sz w:val="28"/>
          <w:szCs w:val="28"/>
          <w:rtl/>
        </w:rPr>
        <w:tab/>
        <w:t xml:space="preserve">עניין נאמן: </w:t>
      </w:r>
      <w:r>
        <w:rPr>
          <w:rFonts w:ascii="David" w:hAnsi="David"/>
          <w:sz w:val="28"/>
          <w:szCs w:val="28"/>
          <w:rtl/>
        </w:rPr>
        <w:t xml:space="preserve">גב' נאמן העידה בתצהירה כי עלות העסקתו החודשית של העובד הזר הייתה 7,060 ₪ לחודש. עלות זו הורכבה משכר בסיסי -  4,426 ₪; שבתות (250 ₪ לכל שבת) – 1250 ₪  ובסך הכל שכר ששולם לעובד – 5,676 ₪; עלויות חודשיות קבועות (ביטוח לאומי, גמל ופיצויים, ביטוח רפואי)  - 798 ₪; תשלומים שנתיים (חופשה, ימי חג, הבראה) – 7,032 ₪ לשנה, 586 ₪ לחודש. ככל שתחשיב זה מתקבל, שליש מעלות העסקת העובד הזר עמדה על סך של 2,353 ₪ לחודש, ולא 1,650 ₪ לחודש כפי ששילמה לאומית. לאומית לא חקרה את גב' נאמן על תצהירה. בסיכומי הטענות מטעמה טענה לאומית כי אין התאמה בין האמור בתצהיר לבין האישורים עליהם חתם העובד הזר שהועסק על ידי המנוח. אכן, לכתב התביעה צורפו אישורים עליהם חתם העובד הזר והסכומים </w:t>
      </w:r>
      <w:r>
        <w:rPr>
          <w:rFonts w:ascii="David" w:hAnsi="David"/>
          <w:sz w:val="28"/>
          <w:szCs w:val="28"/>
          <w:rtl/>
        </w:rPr>
        <w:lastRenderedPageBreak/>
        <w:t xml:space="preserve">המפורטים בהם נמוכים משמעותית מהסכום האמור בתצהיר, אולם מדובר באישורים המתייחסים לתקופה ינואר 2011 – פברואר 2011. לתצהירה של גב' נאמן צורפו אישורים נוספים, המעידים על תשלום שכר בסכומים גבוהים יותר במועדים מאוחרים יותר. מכל מקום, בית הדין האזורי לא הכריע במחלוקת זו, כיוון שסבר כי נוכח העובדה שסכום הקצבה המיוחדת במצטבר לתשלום הקופה עלה על עלות העסקת העובד הזר, המנוח אינו זכאי לסכומים נוספים, קביעה שנדחתה על ידינו בסעיף 86 לעיל. נציין, כי שכר המינימום בתקופה הרלוונטית להליך נע בין 4,100 ₪ באוגוסט 2011 </w:t>
      </w:r>
      <w:r>
        <w:rPr>
          <w:rFonts w:ascii="David" w:hAnsi="David"/>
          <w:sz w:val="28"/>
          <w:szCs w:val="28"/>
          <w:rtl/>
        </w:rPr>
        <w:br/>
        <w:t xml:space="preserve">ל- 4,650 ₪ בדצמבר 2015, עת שכר זה הוא בעד שישה ימים בלבד, ויש להביא בחשבון לפחות גם עלות העסקת עובד מחליף או תשלום בעד העסקה במנוחה שבועית לעובד הזר שהעסיק המנוח. לפיכך, על פני הדברים, תשלום בסך של 1,650 ₪ אינו משקף שליש מעלות העסקת עובד זר על יסוד שכר המינימום לפחות בנוגע לחלק מהתקופה. </w:t>
      </w:r>
    </w:p>
    <w:p w:rsidR="006B7836" w:rsidRDefault="006B7836" w:rsidP="006B7836">
      <w:pPr>
        <w:spacing w:line="360" w:lineRule="auto"/>
        <w:ind w:left="720" w:right="-284"/>
        <w:jc w:val="both"/>
        <w:rPr>
          <w:rFonts w:ascii="David" w:hAnsi="David"/>
          <w:sz w:val="28"/>
          <w:szCs w:val="28"/>
          <w:rtl/>
        </w:rPr>
      </w:pPr>
      <w:r>
        <w:rPr>
          <w:rFonts w:ascii="David" w:hAnsi="David"/>
          <w:sz w:val="28"/>
          <w:szCs w:val="28"/>
          <w:rtl/>
        </w:rPr>
        <w:t xml:space="preserve">נוכח העובדה שבית הדין האזורי לא הכריע במחלוקת העובדתית בעניין שיעור שכרו של העובד הזר שהועסק על ידי המנוח, אין בידינו לקבוע אם מגיעים לגב' נאמן תשלומים נוספים בגין השתתפות במימון טיפול סיעודי רפואי במנוח ואת שיעורם. אנו ממליצים כי הצדדים יידברו ביניהם ויגיעו לתחשיב מוסכם, על יסוד העקרונות שנקבעו בפסק הדין. בהעדר הסכמה, אין מנוס מלהחזיר את העניין לבית הדין האזורי על מנת שיכריע בעניין זה.  </w:t>
      </w:r>
    </w:p>
    <w:p w:rsidR="006B7836" w:rsidRDefault="006B7836" w:rsidP="006B7836">
      <w:pPr>
        <w:spacing w:line="360" w:lineRule="auto"/>
        <w:ind w:left="720" w:right="-284" w:hanging="432"/>
        <w:jc w:val="both"/>
        <w:rPr>
          <w:rFonts w:ascii="David" w:hAnsi="David"/>
          <w:sz w:val="28"/>
          <w:szCs w:val="28"/>
          <w:rtl/>
        </w:rPr>
      </w:pPr>
      <w:r>
        <w:rPr>
          <w:rFonts w:ascii="David" w:hAnsi="David"/>
          <w:b/>
          <w:bCs/>
          <w:sz w:val="28"/>
          <w:szCs w:val="28"/>
          <w:rtl/>
        </w:rPr>
        <w:t>ב.</w:t>
      </w:r>
      <w:r>
        <w:rPr>
          <w:rFonts w:ascii="David" w:hAnsi="David"/>
          <w:sz w:val="28"/>
          <w:szCs w:val="28"/>
          <w:rtl/>
        </w:rPr>
        <w:tab/>
      </w:r>
      <w:r>
        <w:rPr>
          <w:rFonts w:ascii="David" w:hAnsi="David"/>
          <w:b/>
          <w:bCs/>
          <w:sz w:val="28"/>
          <w:szCs w:val="28"/>
          <w:rtl/>
        </w:rPr>
        <w:t>עניין בגו</w:t>
      </w:r>
      <w:r>
        <w:rPr>
          <w:rFonts w:ascii="David" w:hAnsi="David"/>
          <w:sz w:val="28"/>
          <w:szCs w:val="28"/>
          <w:rtl/>
        </w:rPr>
        <w:t xml:space="preserve">: לטענת מר בגו, נטל הראייה להוכיח ששליש עלות העסקתו של עובד זר עומד על 600 $, כשיעור השתתפות הכללית, הוא שלה לבדה, שכן הכללית טענה שסכום זה נובע מעלות העסקתו היחסית של העובד הזר. נוכח האמור, לא היה מקום לקבוע שעל מר בגו היה להוכיח את עלות העסקת העובד הזר שהעסיק. בהקשר זה נטען גם כי מר בגו לא נדרש מעולם על ידי הכללית לדווח על עלות העסקת העובד הזר בביתו, וגם משום כך לא היה מקום להטיל עליו להוכיח את עלות העסקת העובד הזר בשנים 2006 עד 2015. מדובר בנטל כבד ביותר, שכן הוא לא ידע ולא היה אמור לדעת כי עליו לשמור אסמכתאות, ובכל מקרה העסקת עובד זר לא תמיד מלווה באסמכתאות מסודרות. זאת ועוד. העובדה שהכללית מעולם לא דרשה ממר בגו להציג לה קבלות ו/או אסמכתאות ביחס להוצאות שהוציא בקשר עם העסקת העובד הזר כתנאי לתשלום, משמיטה את הקרקע מתחת טענתה כי זכותו היא ל"השתתפות בעלות ההעסקה בפועל". </w:t>
      </w:r>
    </w:p>
    <w:p w:rsidR="006B7836" w:rsidRDefault="006B7836" w:rsidP="006B7836">
      <w:pPr>
        <w:spacing w:line="360" w:lineRule="auto"/>
        <w:ind w:left="720" w:right="-284" w:hanging="432"/>
        <w:jc w:val="both"/>
        <w:rPr>
          <w:rFonts w:ascii="David" w:hAnsi="David"/>
          <w:sz w:val="28"/>
          <w:szCs w:val="28"/>
          <w:rtl/>
        </w:rPr>
      </w:pPr>
      <w:r>
        <w:rPr>
          <w:rFonts w:ascii="David" w:hAnsi="David"/>
          <w:sz w:val="28"/>
          <w:szCs w:val="28"/>
          <w:rtl/>
        </w:rPr>
        <w:lastRenderedPageBreak/>
        <w:tab/>
        <w:t xml:space="preserve">אין בידינו לקבל טענות אלה של מר בגו. כמובהר בהרחבה לעיל תשלום הקופה בעד טיפול סיעודי רפואי הוא במהותו החזר הוצאות. תביעתו של מר בגו הייתה לתשלום הפרש בין הסכום ששולם לו בפועל לבין סך של 6,500 ₪ לכל חודש (סעיף 23 לכתב התביעה המתוקן). משלטענת מר בגו הוא זכאי לסכום גבוה יותר מהסכום ששולם לו בפועל, עליו להוכיח את שיעור הסכום שהגיע לו. כפי שקבע בית הדין האזורי, מר בגו לא פירט בתצהירו עלות העסקתו בפועל של העובד הזר בשנים הרלוונטיות, והסתפק בעניין זה בהגשת חוות דעת מומחה מטעמו. נוכח העובדה שלא ניתן כל פירוט בתצהיר בנוגע לעלות העסקת העובד הזר בתקופה הרלוונטית לתביעה, לרבות בתקופה לאחר הגשת כתב התביעה עת היה ברור שיש מחלוקת על שיעור התשלום המגיע למר בגו, אין לנו צורך להידרש לשאלת טיב האסמכתאות שהיה על מר בגו להמציא לכללית. אשר לחוות הדעת המומחה שהוגשה על ידי מר בגו, מקובלת עלינו קביעתו של בית הדין האזורי שלא ניתן להסתמך עליה, מהטעמים שפורטו בפסק הדין, דהיינו העובדה שהתייחסה לשנת 2016 בלבד, תוך התעלמות מהשינויים שחלו בעלות העסקתם של עובדים סיעודיים זרים במהלך התקופה הרלוונטית לתביעה. </w:t>
      </w:r>
    </w:p>
    <w:p w:rsidR="006B7836" w:rsidRDefault="006B7836" w:rsidP="006B7836">
      <w:pPr>
        <w:spacing w:line="360" w:lineRule="auto"/>
        <w:ind w:left="720" w:right="-284" w:hanging="432"/>
        <w:jc w:val="both"/>
        <w:rPr>
          <w:rFonts w:ascii="David" w:hAnsi="David"/>
          <w:sz w:val="28"/>
          <w:szCs w:val="28"/>
          <w:rtl/>
        </w:rPr>
      </w:pPr>
      <w:r>
        <w:rPr>
          <w:rFonts w:ascii="David" w:hAnsi="David"/>
          <w:sz w:val="28"/>
          <w:szCs w:val="28"/>
          <w:rtl/>
        </w:rPr>
        <w:tab/>
        <w:t xml:space="preserve">עם זאת, מקובלת עלינו </w:t>
      </w:r>
      <w:r>
        <w:rPr>
          <w:rFonts w:ascii="David" w:hAnsi="David"/>
          <w:b/>
          <w:bCs/>
          <w:sz w:val="28"/>
          <w:szCs w:val="28"/>
          <w:rtl/>
        </w:rPr>
        <w:t>טענתו החלופית</w:t>
      </w:r>
      <w:r>
        <w:rPr>
          <w:rFonts w:ascii="David" w:hAnsi="David"/>
          <w:sz w:val="28"/>
          <w:szCs w:val="28"/>
          <w:rtl/>
        </w:rPr>
        <w:t xml:space="preserve"> של מר בגו, כי משהגישה הכללית חוות דעת מומחה מטעמה, האמור בה מהווה "הודאת בעל דין", ולא ניתן לקבל כי הכללית משלמת למר בגו סכום הנמוך משליש עלות העסקת עובד סיעודי זר על פי חוות דעת המומחה מטעמה. חוות הדעת של המומחה מטעם הכללית היא מיום 5.11.2014, מבוססת על שכר מינימום בסך של 4,300 ₪. שכר המינימום עמד על סך של 4,300 ₪ מאז חודש אוקטובר 2012, ולכן אנו סבורים כי ניתן לפסוק הפרשים בין הסכום ששולם למר בגו לבין עלות העסקת עובד זר על פי חוות דעת המומחה מטעם הכללית בעד התקופה מחודש אוקטובר 2012 עד חודש דצמבר 2015, עת יש להתאים את שיעור ההפקדות לפיצויי פיטורים ולפנסיה לשיעור ההפקדות בשנים 2012 ו- 2013 על פי הוראות צו ההרחבה, שהיה נמוך יותר משיעור ההפקדות בשנת 2014. משנטל ההוכחה לעלות ההעסקה מוטל על מר בגו, ומשלא הוכיח כי העסיק עובד מחליף ישראלי, אנו סבורים כי יש לערוך את התחשיב על פי החלופה של העסקת עובד מחליף זר. </w:t>
      </w:r>
    </w:p>
    <w:p w:rsidR="006B7836" w:rsidRDefault="006B7836" w:rsidP="006B7836">
      <w:pPr>
        <w:spacing w:line="360" w:lineRule="auto"/>
        <w:ind w:left="720" w:right="-284" w:hanging="432"/>
        <w:jc w:val="both"/>
        <w:rPr>
          <w:rFonts w:ascii="David" w:hAnsi="David"/>
          <w:sz w:val="28"/>
          <w:szCs w:val="28"/>
          <w:rtl/>
        </w:rPr>
      </w:pPr>
      <w:r>
        <w:rPr>
          <w:rFonts w:ascii="David" w:hAnsi="David"/>
          <w:sz w:val="28"/>
          <w:szCs w:val="28"/>
          <w:rtl/>
        </w:rPr>
        <w:tab/>
        <w:t xml:space="preserve">אנו דוחים את טענת הכללית כי מר בגו לא הוכיח את עצם העסקת העובד הזר בתקופה זו. כעולה מכתב ההגנה שהגישה הקופה, עצם העסקת העובד הסיעודי </w:t>
      </w:r>
      <w:r>
        <w:rPr>
          <w:rFonts w:ascii="David" w:hAnsi="David"/>
          <w:sz w:val="28"/>
          <w:szCs w:val="28"/>
          <w:rtl/>
        </w:rPr>
        <w:lastRenderedPageBreak/>
        <w:t xml:space="preserve">הזר לא הייתה שנויה במחלוקת, ועל כך גם הצהיר מר בגו בתצהירו, והוא לא נחקר על כך בחקירה נגדית.  </w:t>
      </w:r>
    </w:p>
    <w:p w:rsidR="006B7836" w:rsidRDefault="006B7836" w:rsidP="006B7836">
      <w:pPr>
        <w:spacing w:line="360" w:lineRule="auto"/>
        <w:ind w:left="720" w:right="-284" w:hanging="432"/>
        <w:jc w:val="both"/>
        <w:rPr>
          <w:rFonts w:ascii="David" w:hAnsi="David"/>
          <w:sz w:val="28"/>
          <w:szCs w:val="28"/>
          <w:rtl/>
        </w:rPr>
      </w:pPr>
      <w:r>
        <w:rPr>
          <w:rFonts w:ascii="David" w:hAnsi="David"/>
          <w:sz w:val="28"/>
          <w:szCs w:val="28"/>
          <w:rtl/>
        </w:rPr>
        <w:tab/>
        <w:t>אשר על כן, אנו קובעים כי מר בגו זכאי בחודשים אוקטובר 2012 עד דצמבר 2015 להפרשים כמפורט להלן:</w:t>
      </w:r>
    </w:p>
    <w:p w:rsidR="006B7836" w:rsidRDefault="006B7836" w:rsidP="006B7836">
      <w:pPr>
        <w:bidi w:val="0"/>
        <w:rPr>
          <w:rFonts w:ascii="David" w:hAnsi="David"/>
          <w:sz w:val="28"/>
          <w:szCs w:val="28"/>
          <w:rtl/>
        </w:rPr>
      </w:pPr>
    </w:p>
    <w:p w:rsidR="006B7836" w:rsidRDefault="006B7836" w:rsidP="006B7836">
      <w:pPr>
        <w:spacing w:line="360" w:lineRule="auto"/>
        <w:ind w:left="720" w:right="-284" w:hanging="432"/>
        <w:jc w:val="both"/>
        <w:rPr>
          <w:rFonts w:ascii="David" w:hAnsi="David"/>
          <w:sz w:val="28"/>
          <w:szCs w:val="28"/>
        </w:rPr>
      </w:pPr>
    </w:p>
    <w:p w:rsidR="006B7836" w:rsidRDefault="006B7836" w:rsidP="006B7836">
      <w:pPr>
        <w:spacing w:line="360" w:lineRule="auto"/>
        <w:ind w:left="283" w:right="-284" w:firstLine="5"/>
        <w:jc w:val="both"/>
        <w:rPr>
          <w:rFonts w:ascii="David" w:hAnsi="David"/>
          <w:sz w:val="28"/>
          <w:szCs w:val="28"/>
          <w:rtl/>
        </w:rPr>
      </w:pPr>
      <w:r>
        <w:rPr>
          <w:rFonts w:ascii="David" w:hAnsi="David"/>
          <w:sz w:val="28"/>
          <w:szCs w:val="28"/>
          <w:rtl/>
        </w:rPr>
        <w:t xml:space="preserve">סך הכל זכאי מר בגו להפרשים בסך של 11,857 ₪, בצירוף הפרשי הצמדה וריבית כחוק ממחצית התקופה – 1.6.2014 עד למועד התשלום בפועל. </w:t>
      </w:r>
    </w:p>
    <w:p w:rsidR="00CC6AB9" w:rsidRDefault="00CC6AB9">
      <w:pPr>
        <w:bidi w:val="0"/>
        <w:rPr>
          <w:rFonts w:ascii="David" w:hAnsi="David"/>
          <w:b/>
          <w:bCs/>
          <w:sz w:val="28"/>
          <w:szCs w:val="28"/>
          <w:u w:val="single"/>
          <w:rtl/>
        </w:rPr>
      </w:pPr>
      <w:r>
        <w:rPr>
          <w:rFonts w:ascii="David" w:hAnsi="David"/>
          <w:b/>
          <w:bCs/>
          <w:sz w:val="28"/>
          <w:szCs w:val="28"/>
          <w:u w:val="single"/>
          <w:rtl/>
        </w:rPr>
        <w:br w:type="page"/>
      </w:r>
    </w:p>
    <w:p w:rsidR="006B7836" w:rsidRDefault="006B7836" w:rsidP="006B7836">
      <w:pPr>
        <w:spacing w:line="360" w:lineRule="auto"/>
        <w:ind w:left="720" w:right="-284"/>
        <w:jc w:val="both"/>
        <w:rPr>
          <w:rFonts w:ascii="David" w:hAnsi="David"/>
          <w:b/>
          <w:bCs/>
          <w:sz w:val="28"/>
          <w:szCs w:val="28"/>
          <w:u w:val="single"/>
          <w:rtl/>
        </w:rPr>
      </w:pPr>
    </w:p>
    <w:p w:rsidR="006B7836" w:rsidRDefault="006B7836" w:rsidP="006B7836">
      <w:pPr>
        <w:spacing w:line="360" w:lineRule="auto"/>
        <w:ind w:left="288" w:right="-284"/>
        <w:jc w:val="both"/>
        <w:rPr>
          <w:rFonts w:ascii="David" w:hAnsi="David"/>
          <w:sz w:val="28"/>
          <w:szCs w:val="28"/>
        </w:rPr>
      </w:pPr>
      <w:r>
        <w:rPr>
          <w:rFonts w:ascii="David" w:hAnsi="David"/>
          <w:b/>
          <w:bCs/>
          <w:sz w:val="28"/>
          <w:szCs w:val="28"/>
          <w:u w:val="single"/>
          <w:rtl/>
        </w:rPr>
        <w:t>סוף דבר</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sz w:val="28"/>
          <w:szCs w:val="28"/>
          <w:rtl/>
        </w:rPr>
        <w:t xml:space="preserve">על יסוד כל האמור לעיל, דין שני הערעורים להידחות בעיקרם, למעט לעניין תחשיב סכום השתתפות קופת החולים במימון העסקת העובד הזר. </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sz w:val="28"/>
          <w:szCs w:val="28"/>
          <w:rtl/>
        </w:rPr>
        <w:t xml:space="preserve">בעניין </w:t>
      </w:r>
      <w:r>
        <w:rPr>
          <w:rFonts w:ascii="David" w:hAnsi="David"/>
          <w:b/>
          <w:bCs/>
          <w:sz w:val="28"/>
          <w:szCs w:val="28"/>
          <w:rtl/>
        </w:rPr>
        <w:t>נאמן</w:t>
      </w:r>
      <w:r>
        <w:rPr>
          <w:rFonts w:ascii="David" w:hAnsi="David"/>
          <w:sz w:val="28"/>
          <w:szCs w:val="28"/>
          <w:rtl/>
        </w:rPr>
        <w:t xml:space="preserve"> – ככל שהצדדים לא יגיעו להסדר מוסכם, יוחזר עניינו לבית הדין האזורי לבחינת שאלת זכאותו לתשלומים נוספים מלאומית ושיעורם. נוכח העובדה שהערעור התקבל בחלקו הקטן לא מצאנו מקום לפסוק הוצאות בשלב הערעור. ככל שיגיעו תשלומים נוספים, ישקול בית הדין האזורי פסיקת הוצאות ושיעורן.</w:t>
      </w:r>
    </w:p>
    <w:p w:rsidR="006B7836" w:rsidRDefault="006B7836" w:rsidP="006B7836">
      <w:pPr>
        <w:numPr>
          <w:ilvl w:val="0"/>
          <w:numId w:val="1"/>
        </w:numPr>
        <w:spacing w:line="360" w:lineRule="auto"/>
        <w:ind w:left="288" w:right="-284" w:hanging="432"/>
        <w:jc w:val="both"/>
        <w:rPr>
          <w:rFonts w:ascii="David" w:hAnsi="David"/>
          <w:sz w:val="28"/>
          <w:szCs w:val="28"/>
        </w:rPr>
      </w:pPr>
      <w:r>
        <w:rPr>
          <w:rFonts w:ascii="David" w:hAnsi="David"/>
          <w:sz w:val="28"/>
          <w:szCs w:val="28"/>
          <w:rtl/>
        </w:rPr>
        <w:t xml:space="preserve">בעניין מר </w:t>
      </w:r>
      <w:r>
        <w:rPr>
          <w:rFonts w:ascii="David" w:hAnsi="David"/>
          <w:b/>
          <w:bCs/>
          <w:sz w:val="28"/>
          <w:szCs w:val="28"/>
          <w:rtl/>
        </w:rPr>
        <w:t>בגו</w:t>
      </w:r>
      <w:r>
        <w:rPr>
          <w:rFonts w:ascii="David" w:hAnsi="David"/>
          <w:sz w:val="28"/>
          <w:szCs w:val="28"/>
          <w:rtl/>
        </w:rPr>
        <w:t xml:space="preserve"> – הכללית תשלם למר בגו סך של 11,857 ₪, בצירוף הפרשי הצמדה וריבית כחוק מיום 1.6.2014 עד למועד התשלום בפועל. נוכח העובדה שהערעור התקבל בחלקו הקטן אין צו להוצאות בערעור. </w:t>
      </w:r>
    </w:p>
    <w:p w:rsidR="006B7836" w:rsidRDefault="006B7836" w:rsidP="006B7836">
      <w:pPr>
        <w:spacing w:line="360" w:lineRule="auto"/>
        <w:ind w:right="-284"/>
        <w:jc w:val="both"/>
        <w:rPr>
          <w:rFonts w:ascii="David" w:hAnsi="David"/>
          <w:sz w:val="28"/>
          <w:szCs w:val="28"/>
        </w:rPr>
      </w:pPr>
    </w:p>
    <w:p w:rsidR="006B7836" w:rsidRDefault="006B7836" w:rsidP="006B7836">
      <w:pPr>
        <w:rPr>
          <w:rtl/>
        </w:rPr>
      </w:pPr>
    </w:p>
    <w:p w:rsidR="006B7836" w:rsidRDefault="006B7836" w:rsidP="006B7836">
      <w:pPr>
        <w:rPr>
          <w:rtl/>
        </w:rPr>
      </w:pPr>
    </w:p>
    <w:p w:rsidR="006B7836" w:rsidRDefault="006B7836" w:rsidP="006B7836">
      <w:pPr>
        <w:spacing w:line="360" w:lineRule="auto"/>
        <w:jc w:val="both"/>
        <w:rPr>
          <w:rFonts w:ascii="Arial" w:hAnsi="Arial"/>
          <w:b/>
          <w:bCs/>
          <w:sz w:val="28"/>
          <w:szCs w:val="28"/>
          <w:rtl/>
        </w:rPr>
      </w:pPr>
      <w:r>
        <w:rPr>
          <w:rFonts w:ascii="Arial" w:hAnsi="Arial"/>
          <w:b/>
          <w:bCs/>
          <w:sz w:val="28"/>
          <w:szCs w:val="28"/>
          <w:rtl/>
        </w:rPr>
        <w:t xml:space="preserve">ניתן היום, </w:t>
      </w:r>
      <w:sdt>
        <w:sdtPr>
          <w:rPr>
            <w:b/>
            <w:bCs/>
            <w:sz w:val="28"/>
            <w:szCs w:val="28"/>
            <w:rtl/>
          </w:rPr>
          <w:alias w:val="1455"/>
          <w:tag w:val="1455"/>
          <w:id w:val="1147783837"/>
          <w:text w:multiLine="1"/>
        </w:sdtPr>
        <w:sdtEndPr/>
        <w:sdtContent>
          <w:r>
            <w:rPr>
              <w:rFonts w:ascii="Arial" w:hAnsi="Arial"/>
              <w:b/>
              <w:bCs/>
              <w:sz w:val="28"/>
              <w:szCs w:val="28"/>
              <w:rtl/>
            </w:rPr>
            <w:t>כ"א אייר תש"פ</w:t>
          </w:r>
        </w:sdtContent>
      </w:sdt>
      <w:r>
        <w:rPr>
          <w:rFonts w:ascii="Arial" w:hAnsi="Arial"/>
          <w:b/>
          <w:bCs/>
          <w:sz w:val="28"/>
          <w:szCs w:val="28"/>
          <w:rtl/>
        </w:rPr>
        <w:t xml:space="preserve"> (</w:t>
      </w:r>
      <w:sdt>
        <w:sdtPr>
          <w:rPr>
            <w:b/>
            <w:bCs/>
            <w:sz w:val="28"/>
            <w:szCs w:val="28"/>
            <w:rtl/>
          </w:rPr>
          <w:alias w:val="1456"/>
          <w:tag w:val="1456"/>
          <w:id w:val="1602918797"/>
          <w:text w:multiLine="1"/>
        </w:sdtPr>
        <w:sdtEndPr/>
        <w:sdtContent>
          <w:r>
            <w:rPr>
              <w:rFonts w:ascii="Arial" w:hAnsi="Arial"/>
              <w:b/>
              <w:bCs/>
              <w:sz w:val="28"/>
              <w:szCs w:val="28"/>
              <w:rtl/>
            </w:rPr>
            <w:t>15 מאי 2020</w:t>
          </w:r>
        </w:sdtContent>
      </w:sdt>
      <w:r>
        <w:rPr>
          <w:rFonts w:ascii="Arial" w:hAnsi="Arial"/>
          <w:b/>
          <w:bCs/>
          <w:sz w:val="28"/>
          <w:szCs w:val="28"/>
          <w:rtl/>
        </w:rPr>
        <w:t>), בהעדר הצדדים וישלח אליהם.</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34"/>
        <w:gridCol w:w="360"/>
        <w:gridCol w:w="2340"/>
        <w:gridCol w:w="360"/>
        <w:gridCol w:w="2628"/>
      </w:tblGrid>
      <w:tr w:rsidR="006B7836" w:rsidTr="006B7836">
        <w:tc>
          <w:tcPr>
            <w:tcW w:w="2834" w:type="dxa"/>
            <w:tcBorders>
              <w:top w:val="nil"/>
              <w:left w:val="nil"/>
              <w:bottom w:val="single" w:sz="4" w:space="0" w:color="auto"/>
              <w:right w:val="nil"/>
            </w:tcBorders>
            <w:vAlign w:val="center"/>
            <w:hideMark/>
          </w:tcPr>
          <w:p w:rsidR="006B7836" w:rsidRDefault="006B7836">
            <w:pPr>
              <w:spacing w:before="40" w:after="40"/>
              <w:jc w:val="center"/>
              <w:rPr>
                <w:rtl/>
              </w:rPr>
            </w:pPr>
            <w:r>
              <w:drawing>
                <wp:inline distT="0" distB="0" distL="0" distR="0">
                  <wp:extent cx="991870" cy="760095"/>
                  <wp:effectExtent l="0" t="0" r="0" b="1905"/>
                  <wp:docPr id="6" name="תמונה 6" descr="069600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69600930"/>
                          <pic:cNvPicPr>
                            <a:picLocks noChangeAspect="1" noChangeArrowheads="1"/>
                          </pic:cNvPicPr>
                        </pic:nvPicPr>
                        <pic:blipFill>
                          <a:blip r:embed="rId9">
                            <a:lum contrast="54000"/>
                            <a:extLst>
                              <a:ext uri="{28A0092B-C50C-407E-A947-70E740481C1C}">
                                <a14:useLocalDpi xmlns:a14="http://schemas.microsoft.com/office/drawing/2010/main" val="0"/>
                              </a:ext>
                            </a:extLst>
                          </a:blip>
                          <a:srcRect/>
                          <a:stretch>
                            <a:fillRect/>
                          </a:stretch>
                        </pic:blipFill>
                        <pic:spPr bwMode="auto">
                          <a:xfrm>
                            <a:off x="0" y="0"/>
                            <a:ext cx="991870" cy="760095"/>
                          </a:xfrm>
                          <a:prstGeom prst="rect">
                            <a:avLst/>
                          </a:prstGeom>
                          <a:noFill/>
                          <a:ln>
                            <a:noFill/>
                          </a:ln>
                        </pic:spPr>
                      </pic:pic>
                    </a:graphicData>
                  </a:graphic>
                </wp:inline>
              </w:drawing>
            </w:r>
          </w:p>
        </w:tc>
        <w:tc>
          <w:tcPr>
            <w:tcW w:w="360" w:type="dxa"/>
            <w:vAlign w:val="center"/>
          </w:tcPr>
          <w:p w:rsidR="006B7836" w:rsidRDefault="006B7836">
            <w:pPr>
              <w:spacing w:before="40" w:after="40"/>
              <w:jc w:val="center"/>
              <w:rPr>
                <w:rtl/>
              </w:rPr>
            </w:pPr>
          </w:p>
        </w:tc>
        <w:tc>
          <w:tcPr>
            <w:tcW w:w="2340" w:type="dxa"/>
            <w:tcBorders>
              <w:top w:val="nil"/>
              <w:left w:val="nil"/>
              <w:bottom w:val="single" w:sz="4" w:space="0" w:color="auto"/>
              <w:right w:val="nil"/>
            </w:tcBorders>
            <w:vAlign w:val="center"/>
            <w:hideMark/>
          </w:tcPr>
          <w:p w:rsidR="006B7836" w:rsidRDefault="006B7836">
            <w:pPr>
              <w:spacing w:before="40" w:after="40"/>
              <w:jc w:val="center"/>
              <w:rPr>
                <w:rtl/>
              </w:rPr>
            </w:pPr>
            <w:r>
              <w:rPr>
                <w:rFonts w:ascii="Courier New" w:hAnsi="Courier New"/>
                <w:b/>
                <w:bCs/>
              </w:rPr>
              <w:drawing>
                <wp:inline distT="0" distB="0" distL="0" distR="0">
                  <wp:extent cx="884555" cy="760095"/>
                  <wp:effectExtent l="0" t="0" r="0" b="1905"/>
                  <wp:docPr id="5" name="תמונה 5" descr="056808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568086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4555" cy="760095"/>
                          </a:xfrm>
                          <a:prstGeom prst="rect">
                            <a:avLst/>
                          </a:prstGeom>
                          <a:noFill/>
                          <a:ln>
                            <a:noFill/>
                          </a:ln>
                        </pic:spPr>
                      </pic:pic>
                    </a:graphicData>
                  </a:graphic>
                </wp:inline>
              </w:drawing>
            </w:r>
          </w:p>
        </w:tc>
        <w:tc>
          <w:tcPr>
            <w:tcW w:w="360" w:type="dxa"/>
            <w:vAlign w:val="center"/>
          </w:tcPr>
          <w:p w:rsidR="006B7836" w:rsidRDefault="006B7836">
            <w:pPr>
              <w:spacing w:before="40" w:after="40"/>
              <w:jc w:val="center"/>
              <w:rPr>
                <w:rtl/>
              </w:rPr>
            </w:pPr>
          </w:p>
        </w:tc>
        <w:tc>
          <w:tcPr>
            <w:tcW w:w="2628" w:type="dxa"/>
            <w:tcBorders>
              <w:top w:val="nil"/>
              <w:left w:val="nil"/>
              <w:bottom w:val="single" w:sz="4" w:space="0" w:color="auto"/>
              <w:right w:val="nil"/>
            </w:tcBorders>
            <w:vAlign w:val="center"/>
            <w:hideMark/>
          </w:tcPr>
          <w:p w:rsidR="006B7836" w:rsidRDefault="006B7836">
            <w:pPr>
              <w:spacing w:before="40" w:after="40"/>
              <w:jc w:val="center"/>
              <w:rPr>
                <w:rtl/>
              </w:rPr>
            </w:pPr>
            <w:r>
              <w:drawing>
                <wp:inline distT="0" distB="0" distL="0" distR="0">
                  <wp:extent cx="760095" cy="974090"/>
                  <wp:effectExtent l="0" t="0" r="1905" b="0"/>
                  <wp:docPr id="4" name="תמונה 4" descr="055394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055394902"/>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760095" cy="974090"/>
                          </a:xfrm>
                          <a:prstGeom prst="rect">
                            <a:avLst/>
                          </a:prstGeom>
                          <a:noFill/>
                          <a:ln>
                            <a:noFill/>
                          </a:ln>
                        </pic:spPr>
                      </pic:pic>
                    </a:graphicData>
                  </a:graphic>
                </wp:inline>
              </w:drawing>
            </w:r>
          </w:p>
        </w:tc>
      </w:tr>
      <w:tr w:rsidR="006B7836" w:rsidTr="006B7836">
        <w:tc>
          <w:tcPr>
            <w:tcW w:w="2834" w:type="dxa"/>
            <w:tcBorders>
              <w:top w:val="single" w:sz="4" w:space="0" w:color="auto"/>
              <w:left w:val="nil"/>
              <w:bottom w:val="nil"/>
              <w:right w:val="nil"/>
            </w:tcBorders>
            <w:vAlign w:val="center"/>
            <w:hideMark/>
          </w:tcPr>
          <w:p w:rsidR="006B7836" w:rsidRDefault="006B7836">
            <w:pPr>
              <w:spacing w:before="40" w:after="40"/>
              <w:jc w:val="center"/>
              <w:rPr>
                <w:b/>
                <w:bCs/>
                <w:sz w:val="28"/>
                <w:szCs w:val="28"/>
                <w:rtl/>
              </w:rPr>
            </w:pPr>
            <w:r>
              <w:rPr>
                <w:b/>
                <w:bCs/>
                <w:sz w:val="28"/>
                <w:szCs w:val="28"/>
                <w:rtl/>
              </w:rPr>
              <w:t>אילן איטח,</w:t>
            </w:r>
          </w:p>
          <w:p w:rsidR="006B7836" w:rsidRDefault="006B7836">
            <w:pPr>
              <w:spacing w:before="40" w:after="40"/>
              <w:jc w:val="center"/>
              <w:rPr>
                <w:b/>
                <w:bCs/>
                <w:sz w:val="28"/>
                <w:szCs w:val="28"/>
                <w:rtl/>
              </w:rPr>
            </w:pPr>
            <w:r>
              <w:rPr>
                <w:b/>
                <w:bCs/>
                <w:sz w:val="28"/>
                <w:szCs w:val="28"/>
                <w:rtl/>
              </w:rPr>
              <w:t>סגן נשיאה, אב"ד</w:t>
            </w:r>
          </w:p>
        </w:tc>
        <w:tc>
          <w:tcPr>
            <w:tcW w:w="360" w:type="dxa"/>
            <w:vAlign w:val="center"/>
          </w:tcPr>
          <w:p w:rsidR="006B7836" w:rsidRDefault="006B7836">
            <w:pPr>
              <w:spacing w:before="40" w:after="40"/>
              <w:jc w:val="center"/>
              <w:rPr>
                <w:rtl/>
              </w:rPr>
            </w:pPr>
          </w:p>
        </w:tc>
        <w:tc>
          <w:tcPr>
            <w:tcW w:w="2340" w:type="dxa"/>
            <w:tcBorders>
              <w:top w:val="single" w:sz="4" w:space="0" w:color="auto"/>
              <w:left w:val="nil"/>
              <w:bottom w:val="nil"/>
              <w:right w:val="nil"/>
            </w:tcBorders>
            <w:vAlign w:val="center"/>
            <w:hideMark/>
          </w:tcPr>
          <w:p w:rsidR="006B7836" w:rsidRDefault="006B7836">
            <w:pPr>
              <w:spacing w:before="40" w:after="40"/>
              <w:jc w:val="center"/>
              <w:rPr>
                <w:b/>
                <w:bCs/>
                <w:sz w:val="28"/>
                <w:szCs w:val="28"/>
                <w:rtl/>
              </w:rPr>
            </w:pPr>
            <w:r>
              <w:rPr>
                <w:b/>
                <w:bCs/>
                <w:sz w:val="28"/>
                <w:szCs w:val="28"/>
                <w:rtl/>
              </w:rPr>
              <w:t>לאה גליקסמן,</w:t>
            </w:r>
          </w:p>
          <w:p w:rsidR="006B7836" w:rsidRDefault="006B7836">
            <w:pPr>
              <w:spacing w:before="40" w:after="40"/>
              <w:jc w:val="center"/>
              <w:rPr>
                <w:b/>
                <w:bCs/>
                <w:noProof w:val="0"/>
                <w:sz w:val="28"/>
                <w:szCs w:val="28"/>
                <w:rtl/>
              </w:rPr>
            </w:pPr>
            <w:r>
              <w:rPr>
                <w:b/>
                <w:bCs/>
                <w:sz w:val="28"/>
                <w:szCs w:val="28"/>
                <w:rtl/>
              </w:rPr>
              <w:t>שופטת</w:t>
            </w:r>
          </w:p>
        </w:tc>
        <w:tc>
          <w:tcPr>
            <w:tcW w:w="360" w:type="dxa"/>
            <w:vAlign w:val="center"/>
          </w:tcPr>
          <w:p w:rsidR="006B7836" w:rsidRDefault="006B7836">
            <w:pPr>
              <w:spacing w:before="40" w:after="40"/>
              <w:jc w:val="center"/>
            </w:pPr>
          </w:p>
        </w:tc>
        <w:tc>
          <w:tcPr>
            <w:tcW w:w="2628" w:type="dxa"/>
            <w:tcBorders>
              <w:top w:val="single" w:sz="4" w:space="0" w:color="auto"/>
              <w:left w:val="nil"/>
              <w:bottom w:val="nil"/>
              <w:right w:val="nil"/>
            </w:tcBorders>
            <w:vAlign w:val="center"/>
            <w:hideMark/>
          </w:tcPr>
          <w:p w:rsidR="006B7836" w:rsidRDefault="006B7836">
            <w:pPr>
              <w:spacing w:before="40" w:after="40"/>
              <w:jc w:val="center"/>
              <w:rPr>
                <w:b/>
                <w:bCs/>
                <w:sz w:val="28"/>
                <w:szCs w:val="28"/>
                <w:rtl/>
              </w:rPr>
            </w:pPr>
            <w:r>
              <w:rPr>
                <w:b/>
                <w:bCs/>
                <w:sz w:val="28"/>
                <w:szCs w:val="28"/>
                <w:rtl/>
              </w:rPr>
              <w:t>רועי פוליאק,</w:t>
            </w:r>
          </w:p>
          <w:p w:rsidR="006B7836" w:rsidRDefault="006B7836">
            <w:pPr>
              <w:spacing w:before="40" w:after="40"/>
              <w:jc w:val="center"/>
              <w:rPr>
                <w:b/>
                <w:bCs/>
                <w:noProof w:val="0"/>
                <w:sz w:val="28"/>
                <w:szCs w:val="28"/>
                <w:rtl/>
              </w:rPr>
            </w:pPr>
            <w:r>
              <w:rPr>
                <w:b/>
                <w:bCs/>
                <w:sz w:val="28"/>
                <w:szCs w:val="28"/>
                <w:rtl/>
              </w:rPr>
              <w:t>שופט</w:t>
            </w:r>
          </w:p>
        </w:tc>
      </w:tr>
    </w:tbl>
    <w:p w:rsidR="006B7836" w:rsidRDefault="006B7836" w:rsidP="006B7836">
      <w:pPr>
        <w:rPr>
          <w:rtl/>
        </w:rPr>
      </w:pPr>
    </w:p>
    <w:p w:rsidR="006B7836" w:rsidRDefault="006B7836" w:rsidP="006B7836">
      <w:pPr>
        <w:rPr>
          <w:rtl/>
        </w:rPr>
      </w:pPr>
    </w:p>
    <w:p w:rsidR="006B7836" w:rsidRDefault="006B7836" w:rsidP="006B7836"/>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08"/>
        <w:gridCol w:w="1704"/>
        <w:gridCol w:w="3410"/>
      </w:tblGrid>
      <w:tr w:rsidR="006B7836" w:rsidTr="006B7836">
        <w:trPr>
          <w:trHeight w:val="550"/>
        </w:trPr>
        <w:tc>
          <w:tcPr>
            <w:tcW w:w="3408" w:type="dxa"/>
          </w:tcPr>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92"/>
            </w:tblGrid>
            <w:tr w:rsidR="006B7836">
              <w:tc>
                <w:tcPr>
                  <w:tcW w:w="3194" w:type="dxa"/>
                  <w:tcBorders>
                    <w:top w:val="nil"/>
                    <w:left w:val="nil"/>
                    <w:bottom w:val="single" w:sz="4" w:space="0" w:color="auto"/>
                    <w:right w:val="nil"/>
                  </w:tcBorders>
                  <w:hideMark/>
                </w:tcPr>
                <w:p w:rsidR="006B7836" w:rsidRDefault="006B7836">
                  <w:pPr>
                    <w:jc w:val="center"/>
                    <w:rPr>
                      <w:rtl/>
                    </w:rPr>
                  </w:pPr>
                </w:p>
                <w:p w:rsidR="006B7836" w:rsidRDefault="006B7836">
                  <w:pPr>
                    <w:jc w:val="center"/>
                    <w:rPr>
                      <w:rtl/>
                    </w:rPr>
                  </w:pPr>
                </w:p>
                <w:p w:rsidR="006B7836" w:rsidRDefault="006B7836">
                  <w:pPr>
                    <w:jc w:val="center"/>
                    <w:rPr>
                      <w:rtl/>
                    </w:rPr>
                  </w:pPr>
                  <w:r>
                    <w:drawing>
                      <wp:inline distT="0" distB="0" distL="0" distR="0">
                        <wp:extent cx="1122045" cy="754380"/>
                        <wp:effectExtent l="0" t="0" r="1905" b="7620"/>
                        <wp:docPr id="3" name="תמונה 3" descr="059214973 רן קיד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059214973 רן קידר"/>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2045" cy="754380"/>
                                </a:xfrm>
                                <a:prstGeom prst="rect">
                                  <a:avLst/>
                                </a:prstGeom>
                                <a:noFill/>
                                <a:ln>
                                  <a:noFill/>
                                </a:ln>
                              </pic:spPr>
                            </pic:pic>
                          </a:graphicData>
                        </a:graphic>
                      </wp:inline>
                    </w:drawing>
                  </w:r>
                </w:p>
              </w:tc>
            </w:tr>
            <w:tr w:rsidR="006B7836">
              <w:tc>
                <w:tcPr>
                  <w:tcW w:w="3194" w:type="dxa"/>
                  <w:tcBorders>
                    <w:top w:val="single" w:sz="4" w:space="0" w:color="auto"/>
                    <w:left w:val="nil"/>
                    <w:bottom w:val="nil"/>
                    <w:right w:val="nil"/>
                  </w:tcBorders>
                  <w:hideMark/>
                </w:tcPr>
                <w:p w:rsidR="006B7836" w:rsidRDefault="006B7836">
                  <w:pPr>
                    <w:jc w:val="center"/>
                    <w:rPr>
                      <w:b/>
                      <w:bCs/>
                      <w:sz w:val="28"/>
                      <w:szCs w:val="28"/>
                      <w:rtl/>
                    </w:rPr>
                  </w:pPr>
                  <w:r>
                    <w:rPr>
                      <w:b/>
                      <w:bCs/>
                      <w:sz w:val="28"/>
                      <w:szCs w:val="28"/>
                      <w:rtl/>
                    </w:rPr>
                    <w:t>מר רן קידר,</w:t>
                  </w:r>
                </w:p>
                <w:p w:rsidR="006B7836" w:rsidRDefault="006B7836">
                  <w:pPr>
                    <w:jc w:val="center"/>
                    <w:rPr>
                      <w:b/>
                      <w:bCs/>
                      <w:rtl/>
                    </w:rPr>
                  </w:pPr>
                  <w:r>
                    <w:rPr>
                      <w:b/>
                      <w:bCs/>
                      <w:sz w:val="28"/>
                      <w:szCs w:val="28"/>
                      <w:rtl/>
                    </w:rPr>
                    <w:t>נציג ציבור (עובדים)</w:t>
                  </w:r>
                </w:p>
              </w:tc>
            </w:tr>
          </w:tbl>
          <w:p w:rsidR="006B7836" w:rsidRDefault="006B7836">
            <w:pPr>
              <w:rPr>
                <w:rtl/>
              </w:rPr>
            </w:pPr>
          </w:p>
          <w:p w:rsidR="006B7836" w:rsidRDefault="006B7836">
            <w:pPr>
              <w:jc w:val="center"/>
              <w:rPr>
                <w:rtl/>
              </w:rPr>
            </w:pPr>
          </w:p>
        </w:tc>
        <w:tc>
          <w:tcPr>
            <w:tcW w:w="1704" w:type="dxa"/>
          </w:tcPr>
          <w:p w:rsidR="006B7836" w:rsidRDefault="006B7836">
            <w:pPr>
              <w:jc w:val="center"/>
              <w:rPr>
                <w:rtl/>
              </w:rPr>
            </w:pPr>
          </w:p>
        </w:tc>
        <w:tc>
          <w:tcPr>
            <w:tcW w:w="3410" w:type="dxa"/>
          </w:tcPr>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94"/>
            </w:tblGrid>
            <w:tr w:rsidR="006B7836">
              <w:tc>
                <w:tcPr>
                  <w:tcW w:w="3194" w:type="dxa"/>
                  <w:tcBorders>
                    <w:top w:val="nil"/>
                    <w:left w:val="nil"/>
                    <w:bottom w:val="single" w:sz="4" w:space="0" w:color="auto"/>
                    <w:right w:val="nil"/>
                  </w:tcBorders>
                  <w:hideMark/>
                </w:tcPr>
                <w:p w:rsidR="006B7836" w:rsidRDefault="006B7836">
                  <w:pPr>
                    <w:jc w:val="center"/>
                    <w:rPr>
                      <w:rtl/>
                    </w:rPr>
                  </w:pPr>
                  <w:r>
                    <w:drawing>
                      <wp:inline distT="0" distB="0" distL="0" distR="0">
                        <wp:extent cx="1199515" cy="1092835"/>
                        <wp:effectExtent l="0" t="0" r="635" b="0"/>
                        <wp:docPr id="2" name="תמונה 2" descr="001650753 אהוד פל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001650753 אהוד פלד"/>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9515" cy="1092835"/>
                                </a:xfrm>
                                <a:prstGeom prst="rect">
                                  <a:avLst/>
                                </a:prstGeom>
                                <a:noFill/>
                                <a:ln>
                                  <a:noFill/>
                                </a:ln>
                              </pic:spPr>
                            </pic:pic>
                          </a:graphicData>
                        </a:graphic>
                      </wp:inline>
                    </w:drawing>
                  </w:r>
                </w:p>
              </w:tc>
            </w:tr>
            <w:tr w:rsidR="006B7836">
              <w:tc>
                <w:tcPr>
                  <w:tcW w:w="3194" w:type="dxa"/>
                  <w:tcBorders>
                    <w:top w:val="single" w:sz="4" w:space="0" w:color="auto"/>
                    <w:left w:val="nil"/>
                    <w:bottom w:val="nil"/>
                    <w:right w:val="nil"/>
                  </w:tcBorders>
                  <w:hideMark/>
                </w:tcPr>
                <w:p w:rsidR="006B7836" w:rsidRDefault="006B7836">
                  <w:pPr>
                    <w:jc w:val="center"/>
                    <w:rPr>
                      <w:b/>
                      <w:bCs/>
                      <w:sz w:val="28"/>
                      <w:szCs w:val="28"/>
                      <w:rtl/>
                    </w:rPr>
                  </w:pPr>
                  <w:r>
                    <w:rPr>
                      <w:b/>
                      <w:bCs/>
                      <w:sz w:val="28"/>
                      <w:szCs w:val="28"/>
                      <w:rtl/>
                    </w:rPr>
                    <w:t>מר אהוד פלד,</w:t>
                  </w:r>
                </w:p>
                <w:p w:rsidR="006B7836" w:rsidRDefault="006B7836">
                  <w:pPr>
                    <w:jc w:val="center"/>
                    <w:rPr>
                      <w:b/>
                      <w:bCs/>
                      <w:rtl/>
                    </w:rPr>
                  </w:pPr>
                  <w:r>
                    <w:rPr>
                      <w:b/>
                      <w:bCs/>
                      <w:sz w:val="28"/>
                      <w:szCs w:val="28"/>
                      <w:rtl/>
                    </w:rPr>
                    <w:t>נציג ציבור (מעסיקים)</w:t>
                  </w:r>
                </w:p>
              </w:tc>
            </w:tr>
          </w:tbl>
          <w:p w:rsidR="006B7836" w:rsidRDefault="006B7836">
            <w:pPr>
              <w:rPr>
                <w:rtl/>
              </w:rPr>
            </w:pPr>
          </w:p>
          <w:p w:rsidR="006B7836" w:rsidRDefault="006B7836">
            <w:pPr>
              <w:rPr>
                <w:rtl/>
              </w:rPr>
            </w:pPr>
          </w:p>
          <w:p w:rsidR="006B7836" w:rsidRDefault="006B7836">
            <w:pPr>
              <w:rPr>
                <w:rtl/>
              </w:rPr>
            </w:pPr>
          </w:p>
          <w:p w:rsidR="006B7836" w:rsidRDefault="006B7836">
            <w:pPr>
              <w:jc w:val="center"/>
              <w:rPr>
                <w:rtl/>
              </w:rPr>
            </w:pPr>
          </w:p>
        </w:tc>
      </w:tr>
    </w:tbl>
    <w:p w:rsidR="006B7836" w:rsidRDefault="006B7836" w:rsidP="006B7836">
      <w:pPr>
        <w:rPr>
          <w:rtl/>
        </w:rPr>
      </w:pPr>
    </w:p>
    <w:sectPr w:rsidR="006B7836" w:rsidSect="006B7836">
      <w:headerReference w:type="even" r:id="rId14"/>
      <w:headerReference w:type="default" r:id="rId15"/>
      <w:footerReference w:type="even" r:id="rId16"/>
      <w:footerReference w:type="default" r:id="rId17"/>
      <w:headerReference w:type="first" r:id="rId18"/>
      <w:footerReference w:type="first" r:id="rId19"/>
      <w:pgSz w:w="11907" w:h="16840" w:code="9"/>
      <w:pgMar w:top="720" w:right="1701" w:bottom="993" w:left="1701" w:header="720" w:footer="1019"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D5C" w:rsidRDefault="00862D5C">
      <w:r>
        <w:separator/>
      </w:r>
    </w:p>
  </w:endnote>
  <w:endnote w:type="continuationSeparator" w:id="0">
    <w:p w:rsidR="00862D5C" w:rsidRDefault="00862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A95" w:rsidRDefault="00F01A95">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836" w:rsidRDefault="006B7836" w:rsidP="00B7738A">
    <w:pPr>
      <w:pStyle w:val="a4"/>
      <w:jc w:val="center"/>
      <w:rPr>
        <w:rStyle w:val="ac"/>
        <w:rtl/>
      </w:rPr>
    </w:pPr>
  </w:p>
  <w:p w:rsidR="00694556" w:rsidRPr="004E6E3C" w:rsidRDefault="00B7738A" w:rsidP="006B7836">
    <w:pPr>
      <w:pStyle w:val="a4"/>
      <w:jc w:val="center"/>
      <w:rPr>
        <w:rStyle w:val="ac"/>
      </w:rPr>
    </w:pPr>
    <w:r>
      <w:rPr>
        <w:rStyle w:val="ac"/>
        <w:rtl/>
      </w:rPr>
      <w:fldChar w:fldCharType="begin"/>
    </w:r>
    <w:r>
      <w:rPr>
        <w:rStyle w:val="ac"/>
      </w:rPr>
      <w:instrText xml:space="preserve"> PAGE </w:instrText>
    </w:r>
    <w:r>
      <w:rPr>
        <w:rStyle w:val="ac"/>
        <w:rtl/>
      </w:rPr>
      <w:fldChar w:fldCharType="separate"/>
    </w:r>
    <w:r w:rsidR="006222CF">
      <w:rPr>
        <w:rStyle w:val="ac"/>
        <w:rtl/>
      </w:rPr>
      <w:t>1</w:t>
    </w:r>
    <w:r>
      <w:rPr>
        <w:rStyle w:val="ac"/>
        <w:rtl/>
      </w:rPr>
      <w:fldChar w:fldCharType="end"/>
    </w:r>
    <w:r>
      <w:rPr>
        <w:rStyle w:val="ac"/>
        <w:rFonts w:hint="cs"/>
        <w:rtl/>
      </w:rPr>
      <w:t xml:space="preserve"> מתוך </w:t>
    </w:r>
    <w:r>
      <w:rPr>
        <w:rStyle w:val="ac"/>
        <w:rtl/>
      </w:rPr>
      <w:fldChar w:fldCharType="begin"/>
    </w:r>
    <w:r>
      <w:rPr>
        <w:rStyle w:val="ac"/>
      </w:rPr>
      <w:instrText xml:space="preserve"> NUMPAGES </w:instrText>
    </w:r>
    <w:r>
      <w:rPr>
        <w:rStyle w:val="ac"/>
        <w:rtl/>
      </w:rPr>
      <w:fldChar w:fldCharType="separate"/>
    </w:r>
    <w:r w:rsidR="006222CF">
      <w:rPr>
        <w:rStyle w:val="ac"/>
        <w:rtl/>
      </w:rPr>
      <w:t>50</w:t>
    </w:r>
    <w:r>
      <w:rPr>
        <w:rStyle w:val="ac"/>
        <w:rtl/>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A95" w:rsidRDefault="00F01A9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D5C" w:rsidRDefault="00862D5C">
      <w:r>
        <w:separator/>
      </w:r>
    </w:p>
  </w:footnote>
  <w:footnote w:type="continuationSeparator" w:id="0">
    <w:p w:rsidR="00862D5C" w:rsidRDefault="00862D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A95" w:rsidRDefault="00F01A9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556" w:rsidRDefault="003D7562">
    <w:pPr>
      <w:pStyle w:val="a3"/>
      <w:jc w:val="center"/>
      <w:rPr>
        <w:rFonts w:cs="FrankRuehl"/>
        <w:noProof w:val="0"/>
        <w:sz w:val="28"/>
        <w:szCs w:val="28"/>
        <w:rtl/>
      </w:rPr>
    </w:pPr>
    <w:r>
      <w:rPr>
        <w:rFonts w:cs="FrankRuehl"/>
        <w:sz w:val="28"/>
        <w:szCs w:val="28"/>
      </w:rPr>
      <w:drawing>
        <wp:inline distT="0" distB="0" distL="0" distR="0" wp14:anchorId="57A1EB01" wp14:editId="79C17561">
          <wp:extent cx="371475" cy="466725"/>
          <wp:effectExtent l="0" t="0" r="9525" b="952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113"/>
      <w:gridCol w:w="4608"/>
    </w:tblGrid>
    <w:tr w:rsidR="00694556">
      <w:trPr>
        <w:trHeight w:hRule="exact" w:val="418"/>
        <w:jc w:val="center"/>
      </w:trPr>
      <w:tc>
        <w:tcPr>
          <w:tcW w:w="8721" w:type="dxa"/>
          <w:gridSpan w:val="2"/>
        </w:tcPr>
        <w:p w:rsidR="00694556" w:rsidRPr="00254FE8" w:rsidRDefault="00862D5C">
          <w:pPr>
            <w:pStyle w:val="a3"/>
            <w:jc w:val="center"/>
            <w:rPr>
              <w:rFonts w:ascii="Tahoma" w:hAnsi="Tahoma"/>
              <w:noProof w:val="0"/>
              <w:color w:val="000080"/>
              <w:sz w:val="36"/>
              <w:szCs w:val="36"/>
              <w:rtl/>
            </w:rPr>
          </w:pPr>
          <w:sdt>
            <w:sdtPr>
              <w:rPr>
                <w:sz w:val="36"/>
                <w:szCs w:val="36"/>
                <w:rtl/>
              </w:rPr>
              <w:alias w:val="1174"/>
              <w:tag w:val="1174"/>
              <w:id w:val="1472562602"/>
              <w:text w:multiLine="1"/>
            </w:sdtPr>
            <w:sdtEndPr/>
            <w:sdtContent>
              <w:r w:rsidR="00127531">
                <w:rPr>
                  <w:rFonts w:ascii="Tahoma" w:hAnsi="Tahoma"/>
                  <w:b/>
                  <w:bCs/>
                  <w:noProof w:val="0"/>
                  <w:color w:val="000080"/>
                  <w:sz w:val="36"/>
                  <w:szCs w:val="36"/>
                  <w:rtl/>
                </w:rPr>
                <w:t>בית הדין הארצי לעבודה</w:t>
              </w:r>
            </w:sdtContent>
          </w:sdt>
        </w:p>
      </w:tc>
    </w:tr>
    <w:tr w:rsidR="00694556" w:rsidTr="009031E2">
      <w:trPr>
        <w:trHeight w:val="337"/>
        <w:jc w:val="center"/>
      </w:trPr>
      <w:tc>
        <w:tcPr>
          <w:tcW w:w="4113" w:type="dxa"/>
        </w:tcPr>
        <w:p w:rsidR="00694556" w:rsidRDefault="00694556">
          <w:pPr>
            <w:rPr>
              <w:b/>
              <w:bCs/>
              <w:noProof w:val="0"/>
              <w:sz w:val="26"/>
              <w:szCs w:val="26"/>
              <w:rtl/>
            </w:rPr>
          </w:pPr>
        </w:p>
      </w:tc>
      <w:tc>
        <w:tcPr>
          <w:tcW w:w="4608" w:type="dxa"/>
        </w:tcPr>
        <w:p w:rsidR="00FB3C97" w:rsidRPr="00254FE8" w:rsidRDefault="00862D5C" w:rsidP="00775280">
          <w:pPr>
            <w:jc w:val="right"/>
            <w:rPr>
              <w:b/>
              <w:bCs/>
              <w:noProof w:val="0"/>
              <w:sz w:val="28"/>
              <w:szCs w:val="28"/>
              <w:u w:val="single"/>
              <w:rtl/>
            </w:rPr>
          </w:pPr>
          <w:sdt>
            <w:sdtPr>
              <w:rPr>
                <w:sz w:val="28"/>
                <w:szCs w:val="28"/>
                <w:rtl/>
              </w:rPr>
              <w:alias w:val="1170"/>
              <w:tag w:val="1170"/>
              <w:id w:val="456456661"/>
              <w:text w:multiLine="1"/>
            </w:sdtPr>
            <w:sdtEndPr/>
            <w:sdtContent>
              <w:r w:rsidR="00127531">
                <w:rPr>
                  <w:b/>
                  <w:bCs/>
                  <w:noProof w:val="0"/>
                  <w:sz w:val="28"/>
                  <w:szCs w:val="28"/>
                  <w:u w:val="single"/>
                  <w:rtl/>
                </w:rPr>
                <w:t>עב"ל</w:t>
              </w:r>
            </w:sdtContent>
          </w:sdt>
          <w:r w:rsidR="00FB3C97" w:rsidRPr="00254FE8">
            <w:rPr>
              <w:b/>
              <w:bCs/>
              <w:noProof w:val="0"/>
              <w:sz w:val="28"/>
              <w:szCs w:val="28"/>
              <w:u w:val="single"/>
              <w:rtl/>
            </w:rPr>
            <w:t xml:space="preserve"> </w:t>
          </w:r>
          <w:sdt>
            <w:sdtPr>
              <w:rPr>
                <w:sz w:val="28"/>
                <w:szCs w:val="28"/>
                <w:rtl/>
              </w:rPr>
              <w:alias w:val="1171"/>
              <w:tag w:val="1171"/>
              <w:id w:val="-1139106524"/>
              <w:text w:multiLine="1"/>
            </w:sdtPr>
            <w:sdtEndPr/>
            <w:sdtContent>
              <w:r w:rsidR="00127531">
                <w:rPr>
                  <w:b/>
                  <w:bCs/>
                  <w:noProof w:val="0"/>
                  <w:sz w:val="28"/>
                  <w:szCs w:val="28"/>
                  <w:u w:val="single"/>
                  <w:rtl/>
                </w:rPr>
                <w:t>55089-01-16</w:t>
              </w:r>
            </w:sdtContent>
          </w:sdt>
          <w:r w:rsidR="00FB3C97" w:rsidRPr="00254FE8">
            <w:rPr>
              <w:b/>
              <w:bCs/>
              <w:noProof w:val="0"/>
              <w:sz w:val="28"/>
              <w:szCs w:val="28"/>
              <w:u w:val="single"/>
              <w:rtl/>
            </w:rPr>
            <w:t xml:space="preserve"> </w:t>
          </w:r>
        </w:p>
        <w:p w:rsidR="006369B9" w:rsidRDefault="006369B9">
          <w:pPr>
            <w:jc w:val="right"/>
            <w:rPr>
              <w:sz w:val="28"/>
              <w:szCs w:val="28"/>
              <w:rtl/>
            </w:rPr>
          </w:pPr>
        </w:p>
      </w:tc>
    </w:tr>
  </w:tbl>
  <w:p w:rsidR="00694556" w:rsidRDefault="00005C8B" w:rsidP="006B7836">
    <w:pPr>
      <w:pStyle w:val="a3"/>
      <w:rPr>
        <w:noProof w:val="0"/>
        <w:rtl/>
      </w:rPr>
    </w:pPr>
    <w:r>
      <w:rPr>
        <w:noProof w:val="0"/>
        <w:rtl/>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A95" w:rsidRDefault="00F01A9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C71F5"/>
    <w:multiLevelType w:val="hybridMultilevel"/>
    <w:tmpl w:val="BAB093D8"/>
    <w:lvl w:ilvl="0" w:tplc="3F3896E2">
      <w:start w:val="1"/>
      <w:numFmt w:val="decimal"/>
      <w:lvlText w:val="%1."/>
      <w:lvlJc w:val="left"/>
      <w:pPr>
        <w:ind w:left="360" w:hanging="360"/>
      </w:pPr>
      <w:rPr>
        <w:rFonts w:cs="Times New Roman"/>
        <w:b w:val="0"/>
        <w:bCs w:val="0"/>
      </w:rPr>
    </w:lvl>
    <w:lvl w:ilvl="1" w:tplc="048477D8">
      <w:start w:val="1"/>
      <w:numFmt w:val="lowerLetter"/>
      <w:lvlText w:val="%2."/>
      <w:lvlJc w:val="left"/>
      <w:pPr>
        <w:ind w:left="1440" w:hanging="360"/>
      </w:pPr>
      <w:rPr>
        <w:rFonts w:cs="Times New Roman"/>
      </w:rPr>
    </w:lvl>
    <w:lvl w:ilvl="2" w:tplc="0F9073F0">
      <w:start w:val="1"/>
      <w:numFmt w:val="lowerRoman"/>
      <w:lvlText w:val="%3."/>
      <w:lvlJc w:val="right"/>
      <w:pPr>
        <w:ind w:left="2160" w:hanging="180"/>
      </w:pPr>
      <w:rPr>
        <w:rFonts w:cs="Times New Roman"/>
      </w:rPr>
    </w:lvl>
    <w:lvl w:ilvl="3" w:tplc="3EF8398C">
      <w:start w:val="1"/>
      <w:numFmt w:val="decimal"/>
      <w:lvlText w:val="%4."/>
      <w:lvlJc w:val="left"/>
      <w:pPr>
        <w:ind w:left="2880" w:hanging="360"/>
      </w:pPr>
      <w:rPr>
        <w:rFonts w:cs="Times New Roman"/>
      </w:rPr>
    </w:lvl>
    <w:lvl w:ilvl="4" w:tplc="2EBA1514">
      <w:start w:val="1"/>
      <w:numFmt w:val="lowerLetter"/>
      <w:lvlText w:val="%5."/>
      <w:lvlJc w:val="left"/>
      <w:pPr>
        <w:ind w:left="3600" w:hanging="360"/>
      </w:pPr>
      <w:rPr>
        <w:rFonts w:cs="Times New Roman"/>
      </w:rPr>
    </w:lvl>
    <w:lvl w:ilvl="5" w:tplc="13108FFC">
      <w:start w:val="1"/>
      <w:numFmt w:val="lowerRoman"/>
      <w:lvlText w:val="%6."/>
      <w:lvlJc w:val="right"/>
      <w:pPr>
        <w:ind w:left="4320" w:hanging="180"/>
      </w:pPr>
      <w:rPr>
        <w:rFonts w:cs="Times New Roman"/>
      </w:rPr>
    </w:lvl>
    <w:lvl w:ilvl="6" w:tplc="646A8F66">
      <w:start w:val="1"/>
      <w:numFmt w:val="decimal"/>
      <w:lvlText w:val="%7."/>
      <w:lvlJc w:val="left"/>
      <w:pPr>
        <w:ind w:left="5040" w:hanging="360"/>
      </w:pPr>
      <w:rPr>
        <w:rFonts w:cs="Times New Roman"/>
      </w:rPr>
    </w:lvl>
    <w:lvl w:ilvl="7" w:tplc="9E0A4D1A">
      <w:start w:val="1"/>
      <w:numFmt w:val="lowerLetter"/>
      <w:lvlText w:val="%8."/>
      <w:lvlJc w:val="left"/>
      <w:pPr>
        <w:ind w:left="5760" w:hanging="360"/>
      </w:pPr>
      <w:rPr>
        <w:rFonts w:cs="Times New Roman"/>
      </w:rPr>
    </w:lvl>
    <w:lvl w:ilvl="8" w:tplc="418C00AE">
      <w:start w:val="1"/>
      <w:numFmt w:val="lowerRoman"/>
      <w:lvlText w:val="%9."/>
      <w:lvlJc w:val="right"/>
      <w:pPr>
        <w:ind w:left="6480" w:hanging="180"/>
      </w:pPr>
      <w:rPr>
        <w:rFonts w:cs="Times New Roman"/>
      </w:rPr>
    </w:lvl>
  </w:abstractNum>
  <w:abstractNum w:abstractNumId="1">
    <w:nsid w:val="408E4C34"/>
    <w:multiLevelType w:val="hybridMultilevel"/>
    <w:tmpl w:val="35DC9EF2"/>
    <w:lvl w:ilvl="0" w:tplc="53E01724">
      <w:start w:val="1"/>
      <w:numFmt w:val="hebrew1"/>
      <w:lvlText w:val="%1."/>
      <w:lvlJc w:val="left"/>
      <w:pPr>
        <w:ind w:left="1494" w:hanging="360"/>
      </w:pPr>
      <w:rPr>
        <w:rFonts w:cs="Times New Roman"/>
      </w:rPr>
    </w:lvl>
    <w:lvl w:ilvl="1" w:tplc="04090019">
      <w:start w:val="1"/>
      <w:numFmt w:val="lowerLetter"/>
      <w:lvlText w:val="%2."/>
      <w:lvlJc w:val="left"/>
      <w:pPr>
        <w:ind w:left="2214" w:hanging="360"/>
      </w:pPr>
      <w:rPr>
        <w:rFonts w:cs="Times New Roman"/>
      </w:rPr>
    </w:lvl>
    <w:lvl w:ilvl="2" w:tplc="0409001B">
      <w:start w:val="1"/>
      <w:numFmt w:val="lowerRoman"/>
      <w:lvlText w:val="%3."/>
      <w:lvlJc w:val="right"/>
      <w:pPr>
        <w:ind w:left="2934" w:hanging="180"/>
      </w:pPr>
      <w:rPr>
        <w:rFonts w:cs="Times New Roman"/>
      </w:rPr>
    </w:lvl>
    <w:lvl w:ilvl="3" w:tplc="0409000F">
      <w:start w:val="1"/>
      <w:numFmt w:val="decimal"/>
      <w:lvlText w:val="%4."/>
      <w:lvlJc w:val="left"/>
      <w:pPr>
        <w:ind w:left="3654" w:hanging="360"/>
      </w:pPr>
      <w:rPr>
        <w:rFonts w:cs="Times New Roman"/>
      </w:rPr>
    </w:lvl>
    <w:lvl w:ilvl="4" w:tplc="04090019">
      <w:start w:val="1"/>
      <w:numFmt w:val="lowerLetter"/>
      <w:lvlText w:val="%5."/>
      <w:lvlJc w:val="left"/>
      <w:pPr>
        <w:ind w:left="4374" w:hanging="360"/>
      </w:pPr>
      <w:rPr>
        <w:rFonts w:cs="Times New Roman"/>
      </w:rPr>
    </w:lvl>
    <w:lvl w:ilvl="5" w:tplc="0409001B">
      <w:start w:val="1"/>
      <w:numFmt w:val="lowerRoman"/>
      <w:lvlText w:val="%6."/>
      <w:lvlJc w:val="right"/>
      <w:pPr>
        <w:ind w:left="5094" w:hanging="180"/>
      </w:pPr>
      <w:rPr>
        <w:rFonts w:cs="Times New Roman"/>
      </w:rPr>
    </w:lvl>
    <w:lvl w:ilvl="6" w:tplc="0409000F">
      <w:start w:val="1"/>
      <w:numFmt w:val="decimal"/>
      <w:lvlText w:val="%7."/>
      <w:lvlJc w:val="left"/>
      <w:pPr>
        <w:ind w:left="5814" w:hanging="360"/>
      </w:pPr>
      <w:rPr>
        <w:rFonts w:cs="Times New Roman"/>
      </w:rPr>
    </w:lvl>
    <w:lvl w:ilvl="7" w:tplc="04090019">
      <w:start w:val="1"/>
      <w:numFmt w:val="lowerLetter"/>
      <w:lvlText w:val="%8."/>
      <w:lvlJc w:val="left"/>
      <w:pPr>
        <w:ind w:left="6534" w:hanging="360"/>
      </w:pPr>
      <w:rPr>
        <w:rFonts w:cs="Times New Roman"/>
      </w:rPr>
    </w:lvl>
    <w:lvl w:ilvl="8" w:tplc="0409001B">
      <w:start w:val="1"/>
      <w:numFmt w:val="lowerRoman"/>
      <w:lvlText w:val="%9."/>
      <w:lvlJc w:val="right"/>
      <w:pPr>
        <w:ind w:left="7254"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556"/>
    <w:rsid w:val="00005C8B"/>
    <w:rsid w:val="00016C35"/>
    <w:rsid w:val="000314CF"/>
    <w:rsid w:val="000346F5"/>
    <w:rsid w:val="00046394"/>
    <w:rsid w:val="000564AB"/>
    <w:rsid w:val="000D6444"/>
    <w:rsid w:val="000E0988"/>
    <w:rsid w:val="000E179E"/>
    <w:rsid w:val="000E59D6"/>
    <w:rsid w:val="000F4B20"/>
    <w:rsid w:val="00127531"/>
    <w:rsid w:val="0014234E"/>
    <w:rsid w:val="0015579A"/>
    <w:rsid w:val="0017393D"/>
    <w:rsid w:val="001C2016"/>
    <w:rsid w:val="001C2611"/>
    <w:rsid w:val="001C4003"/>
    <w:rsid w:val="001C7B47"/>
    <w:rsid w:val="001E7FE1"/>
    <w:rsid w:val="001F273A"/>
    <w:rsid w:val="00254FE8"/>
    <w:rsid w:val="00271A7E"/>
    <w:rsid w:val="002A1F3D"/>
    <w:rsid w:val="002F340F"/>
    <w:rsid w:val="00306A04"/>
    <w:rsid w:val="00325946"/>
    <w:rsid w:val="003365EA"/>
    <w:rsid w:val="003915DF"/>
    <w:rsid w:val="003A7B9A"/>
    <w:rsid w:val="003D3CAA"/>
    <w:rsid w:val="003D7562"/>
    <w:rsid w:val="00427A49"/>
    <w:rsid w:val="00456511"/>
    <w:rsid w:val="00491DCD"/>
    <w:rsid w:val="004A1DE9"/>
    <w:rsid w:val="004D1E3B"/>
    <w:rsid w:val="004E5E6E"/>
    <w:rsid w:val="004E6E3C"/>
    <w:rsid w:val="004F62EA"/>
    <w:rsid w:val="00507311"/>
    <w:rsid w:val="00543B57"/>
    <w:rsid w:val="00544A13"/>
    <w:rsid w:val="00547DB7"/>
    <w:rsid w:val="00586297"/>
    <w:rsid w:val="005A0A91"/>
    <w:rsid w:val="005F41B6"/>
    <w:rsid w:val="006222CF"/>
    <w:rsid w:val="00622BAA"/>
    <w:rsid w:val="00625C89"/>
    <w:rsid w:val="006369B9"/>
    <w:rsid w:val="00671BD5"/>
    <w:rsid w:val="00672E38"/>
    <w:rsid w:val="006805C1"/>
    <w:rsid w:val="00686EEC"/>
    <w:rsid w:val="006908E7"/>
    <w:rsid w:val="00694556"/>
    <w:rsid w:val="006B325C"/>
    <w:rsid w:val="006B7836"/>
    <w:rsid w:val="006E1A53"/>
    <w:rsid w:val="0070039F"/>
    <w:rsid w:val="007056AA"/>
    <w:rsid w:val="00733B24"/>
    <w:rsid w:val="007437DC"/>
    <w:rsid w:val="0074595E"/>
    <w:rsid w:val="00751245"/>
    <w:rsid w:val="00766B1B"/>
    <w:rsid w:val="00771907"/>
    <w:rsid w:val="00775280"/>
    <w:rsid w:val="00785C02"/>
    <w:rsid w:val="007A24FE"/>
    <w:rsid w:val="007F4236"/>
    <w:rsid w:val="00820005"/>
    <w:rsid w:val="00825839"/>
    <w:rsid w:val="00846D27"/>
    <w:rsid w:val="00862B30"/>
    <w:rsid w:val="00862D5C"/>
    <w:rsid w:val="008B48B6"/>
    <w:rsid w:val="008C4C23"/>
    <w:rsid w:val="008C69FC"/>
    <w:rsid w:val="008F11C2"/>
    <w:rsid w:val="009031E2"/>
    <w:rsid w:val="00903896"/>
    <w:rsid w:val="00913B04"/>
    <w:rsid w:val="00914B2D"/>
    <w:rsid w:val="00923D9A"/>
    <w:rsid w:val="00930480"/>
    <w:rsid w:val="009368F7"/>
    <w:rsid w:val="0096689A"/>
    <w:rsid w:val="009B2249"/>
    <w:rsid w:val="009B78E1"/>
    <w:rsid w:val="009C18B5"/>
    <w:rsid w:val="009C3D76"/>
    <w:rsid w:val="009D4CA0"/>
    <w:rsid w:val="009E0263"/>
    <w:rsid w:val="00A14157"/>
    <w:rsid w:val="00A41392"/>
    <w:rsid w:val="00A6750C"/>
    <w:rsid w:val="00AA3149"/>
    <w:rsid w:val="00AF1ED6"/>
    <w:rsid w:val="00AF7C98"/>
    <w:rsid w:val="00B27F83"/>
    <w:rsid w:val="00B7738A"/>
    <w:rsid w:val="00B80CBD"/>
    <w:rsid w:val="00BA6A16"/>
    <w:rsid w:val="00BA7F5D"/>
    <w:rsid w:val="00BC3369"/>
    <w:rsid w:val="00BC3C8F"/>
    <w:rsid w:val="00BC3F9C"/>
    <w:rsid w:val="00BE1997"/>
    <w:rsid w:val="00C13D9D"/>
    <w:rsid w:val="00C21AB0"/>
    <w:rsid w:val="00C22478"/>
    <w:rsid w:val="00C238ED"/>
    <w:rsid w:val="00C44631"/>
    <w:rsid w:val="00C46049"/>
    <w:rsid w:val="00C52C2A"/>
    <w:rsid w:val="00C8295E"/>
    <w:rsid w:val="00CA136D"/>
    <w:rsid w:val="00CC3C2E"/>
    <w:rsid w:val="00CC6AB9"/>
    <w:rsid w:val="00D13025"/>
    <w:rsid w:val="00D31948"/>
    <w:rsid w:val="00D45738"/>
    <w:rsid w:val="00D46BBB"/>
    <w:rsid w:val="00D529FC"/>
    <w:rsid w:val="00D53924"/>
    <w:rsid w:val="00D5682D"/>
    <w:rsid w:val="00D8555D"/>
    <w:rsid w:val="00D96D8C"/>
    <w:rsid w:val="00DE4C8F"/>
    <w:rsid w:val="00DF4090"/>
    <w:rsid w:val="00E408A9"/>
    <w:rsid w:val="00E54573"/>
    <w:rsid w:val="00E54642"/>
    <w:rsid w:val="00E97908"/>
    <w:rsid w:val="00F01A95"/>
    <w:rsid w:val="00F05BAE"/>
    <w:rsid w:val="00F24FC8"/>
    <w:rsid w:val="00F646D7"/>
    <w:rsid w:val="00F76256"/>
    <w:rsid w:val="00F9168F"/>
    <w:rsid w:val="00F974FE"/>
    <w:rsid w:val="00FB30CA"/>
    <w:rsid w:val="00FB3C97"/>
    <w:rsid w:val="00FD36BF"/>
    <w:rsid w:val="00FF6278"/>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link w:val="a5"/>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כותרת תחתונה תו"/>
    <w:basedOn w:val="a0"/>
    <w:link w:val="a4"/>
    <w:rsid w:val="00491DCD"/>
    <w:rPr>
      <w:rFonts w:cs="David"/>
      <w:noProof/>
      <w:sz w:val="24"/>
      <w:szCs w:val="24"/>
    </w:rPr>
  </w:style>
  <w:style w:type="character" w:styleId="ad">
    <w:name w:val="Placeholder Text"/>
    <w:basedOn w:val="a0"/>
    <w:uiPriority w:val="99"/>
    <w:semiHidden/>
    <w:rsid w:val="00D1302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link w:val="a5"/>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כותרת תחתונה תו"/>
    <w:basedOn w:val="a0"/>
    <w:link w:val="a4"/>
    <w:rsid w:val="00491DCD"/>
    <w:rPr>
      <w:rFonts w:cs="David"/>
      <w:noProof/>
      <w:sz w:val="24"/>
      <w:szCs w:val="24"/>
    </w:rPr>
  </w:style>
  <w:style w:type="character" w:styleId="ad">
    <w:name w:val="Placeholder Text"/>
    <w:basedOn w:val="a0"/>
    <w:uiPriority w:val="99"/>
    <w:semiHidden/>
    <w:rsid w:val="00D1302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817309">
      <w:bodyDiv w:val="1"/>
      <w:marLeft w:val="0"/>
      <w:marRight w:val="0"/>
      <w:marTop w:val="0"/>
      <w:marBottom w:val="0"/>
      <w:divBdr>
        <w:top w:val="none" w:sz="0" w:space="0" w:color="auto"/>
        <w:left w:val="none" w:sz="0" w:space="0" w:color="auto"/>
        <w:bottom w:val="none" w:sz="0" w:space="0" w:color="auto"/>
        <w:right w:val="none" w:sz="0" w:space="0" w:color="auto"/>
      </w:divBdr>
    </w:div>
    <w:div w:id="420104477">
      <w:bodyDiv w:val="1"/>
      <w:marLeft w:val="0"/>
      <w:marRight w:val="0"/>
      <w:marTop w:val="0"/>
      <w:marBottom w:val="0"/>
      <w:divBdr>
        <w:top w:val="none" w:sz="0" w:space="0" w:color="auto"/>
        <w:left w:val="none" w:sz="0" w:space="0" w:color="auto"/>
        <w:bottom w:val="none" w:sz="0" w:space="0" w:color="auto"/>
        <w:right w:val="none" w:sz="0" w:space="0" w:color="auto"/>
      </w:divBdr>
    </w:div>
    <w:div w:id="484974467">
      <w:bodyDiv w:val="1"/>
      <w:marLeft w:val="0"/>
      <w:marRight w:val="0"/>
      <w:marTop w:val="0"/>
      <w:marBottom w:val="0"/>
      <w:divBdr>
        <w:top w:val="none" w:sz="0" w:space="0" w:color="auto"/>
        <w:left w:val="none" w:sz="0" w:space="0" w:color="auto"/>
        <w:bottom w:val="none" w:sz="0" w:space="0" w:color="auto"/>
        <w:right w:val="none" w:sz="0" w:space="0" w:color="auto"/>
      </w:divBdr>
    </w:div>
    <w:div w:id="730080343">
      <w:bodyDiv w:val="1"/>
      <w:marLeft w:val="0"/>
      <w:marRight w:val="0"/>
      <w:marTop w:val="0"/>
      <w:marBottom w:val="0"/>
      <w:divBdr>
        <w:top w:val="none" w:sz="0" w:space="0" w:color="auto"/>
        <w:left w:val="none" w:sz="0" w:space="0" w:color="auto"/>
        <w:bottom w:val="none" w:sz="0" w:space="0" w:color="auto"/>
        <w:right w:val="none" w:sz="0" w:space="0" w:color="auto"/>
      </w:divBdr>
    </w:div>
    <w:div w:id="805203727">
      <w:bodyDiv w:val="1"/>
      <w:marLeft w:val="0"/>
      <w:marRight w:val="0"/>
      <w:marTop w:val="0"/>
      <w:marBottom w:val="0"/>
      <w:divBdr>
        <w:top w:val="none" w:sz="0" w:space="0" w:color="auto"/>
        <w:left w:val="none" w:sz="0" w:space="0" w:color="auto"/>
        <w:bottom w:val="none" w:sz="0" w:space="0" w:color="auto"/>
        <w:right w:val="none" w:sz="0" w:space="0" w:color="auto"/>
      </w:divBdr>
    </w:div>
    <w:div w:id="848065053">
      <w:bodyDiv w:val="1"/>
      <w:marLeft w:val="0"/>
      <w:marRight w:val="0"/>
      <w:marTop w:val="0"/>
      <w:marBottom w:val="0"/>
      <w:divBdr>
        <w:top w:val="none" w:sz="0" w:space="0" w:color="auto"/>
        <w:left w:val="none" w:sz="0" w:space="0" w:color="auto"/>
        <w:bottom w:val="none" w:sz="0" w:space="0" w:color="auto"/>
        <w:right w:val="none" w:sz="0" w:space="0" w:color="auto"/>
      </w:divBdr>
    </w:div>
    <w:div w:id="1087925752">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09162536">
      <w:bodyDiv w:val="1"/>
      <w:marLeft w:val="0"/>
      <w:marRight w:val="0"/>
      <w:marTop w:val="0"/>
      <w:marBottom w:val="0"/>
      <w:divBdr>
        <w:top w:val="none" w:sz="0" w:space="0" w:color="auto"/>
        <w:left w:val="none" w:sz="0" w:space="0" w:color="auto"/>
        <w:bottom w:val="none" w:sz="0" w:space="0" w:color="auto"/>
        <w:right w:val="none" w:sz="0" w:space="0" w:color="auto"/>
      </w:divBdr>
    </w:div>
    <w:div w:id="1335375543">
      <w:bodyDiv w:val="1"/>
      <w:marLeft w:val="0"/>
      <w:marRight w:val="0"/>
      <w:marTop w:val="0"/>
      <w:marBottom w:val="0"/>
      <w:divBdr>
        <w:top w:val="none" w:sz="0" w:space="0" w:color="auto"/>
        <w:left w:val="none" w:sz="0" w:space="0" w:color="auto"/>
        <w:bottom w:val="none" w:sz="0" w:space="0" w:color="auto"/>
        <w:right w:val="none" w:sz="0" w:space="0" w:color="auto"/>
      </w:divBdr>
    </w:div>
    <w:div w:id="1399862062">
      <w:bodyDiv w:val="1"/>
      <w:marLeft w:val="0"/>
      <w:marRight w:val="0"/>
      <w:marTop w:val="0"/>
      <w:marBottom w:val="0"/>
      <w:divBdr>
        <w:top w:val="none" w:sz="0" w:space="0" w:color="auto"/>
        <w:left w:val="none" w:sz="0" w:space="0" w:color="auto"/>
        <w:bottom w:val="none" w:sz="0" w:space="0" w:color="auto"/>
        <w:right w:val="none" w:sz="0" w:space="0" w:color="auto"/>
      </w:divBdr>
    </w:div>
    <w:div w:id="1419786576">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57148224">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4602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E5CCD4DB6BB447B8383D806E977B932"/>
        <w:category>
          <w:name w:val="כללי"/>
          <w:gallery w:val="placeholder"/>
        </w:category>
        <w:types>
          <w:type w:val="bbPlcHdr"/>
        </w:types>
        <w:behaviors>
          <w:behavior w:val="content"/>
        </w:behaviors>
        <w:guid w:val="{A678854F-7D79-4B0D-8405-DFDB2684EAC2}"/>
      </w:docPartPr>
      <w:docPartBody>
        <w:p w:rsidR="00C4141B" w:rsidRDefault="009471B2" w:rsidP="009471B2">
          <w:pPr>
            <w:pStyle w:val="6E5CCD4DB6BB447B8383D806E977B93211"/>
          </w:pPr>
          <w:r w:rsidRPr="000E0988">
            <w:rPr>
              <w:rStyle w:val="a3"/>
              <w:b/>
              <w:bCs/>
              <w:sz w:val="26"/>
              <w:szCs w:val="26"/>
              <w:rtl/>
            </w:rPr>
            <w:t>תאריך היום לועזי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E9E"/>
    <w:rsid w:val="0005798D"/>
    <w:rsid w:val="0015524C"/>
    <w:rsid w:val="00196E31"/>
    <w:rsid w:val="003B1969"/>
    <w:rsid w:val="003E24AE"/>
    <w:rsid w:val="004B6AEA"/>
    <w:rsid w:val="00642001"/>
    <w:rsid w:val="006D2704"/>
    <w:rsid w:val="009471B2"/>
    <w:rsid w:val="00BB1113"/>
    <w:rsid w:val="00BE5E9E"/>
    <w:rsid w:val="00C4141B"/>
    <w:rsid w:val="00C66752"/>
    <w:rsid w:val="00D5460F"/>
    <w:rsid w:val="00D730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66752"/>
  </w:style>
  <w:style w:type="paragraph" w:customStyle="1" w:styleId="93548AE70E8A4AAEAE945C1D50EBA813">
    <w:name w:val="93548AE70E8A4AAEAE945C1D50EBA813"/>
    <w:rsid w:val="00BE5E9E"/>
    <w:pPr>
      <w:bidi/>
    </w:pPr>
  </w:style>
  <w:style w:type="paragraph" w:customStyle="1" w:styleId="E5FAA607A0A6472E9A0C0FD5EA09C787">
    <w:name w:val="E5FAA607A0A6472E9A0C0FD5EA09C787"/>
    <w:rsid w:val="00196E31"/>
    <w:pPr>
      <w:bidi/>
      <w:spacing w:after="0" w:line="240" w:lineRule="auto"/>
    </w:pPr>
    <w:rPr>
      <w:rFonts w:ascii="Times New Roman" w:eastAsia="Times New Roman" w:hAnsi="Times New Roman" w:cs="David"/>
      <w:noProof/>
      <w:sz w:val="24"/>
      <w:szCs w:val="24"/>
    </w:rPr>
  </w:style>
  <w:style w:type="paragraph" w:customStyle="1" w:styleId="382B874EFBD04788A749AE4544F12E5C">
    <w:name w:val="382B874EFBD04788A749AE4544F12E5C"/>
    <w:rsid w:val="00196E31"/>
    <w:pPr>
      <w:bidi/>
      <w:spacing w:after="0" w:line="240" w:lineRule="auto"/>
    </w:pPr>
    <w:rPr>
      <w:rFonts w:ascii="Times New Roman" w:eastAsia="Times New Roman" w:hAnsi="Times New Roman" w:cs="David"/>
      <w:noProof/>
      <w:sz w:val="24"/>
      <w:szCs w:val="24"/>
    </w:rPr>
  </w:style>
  <w:style w:type="paragraph" w:customStyle="1" w:styleId="6E5CCD4DB6BB447B8383D806E977B932">
    <w:name w:val="6E5CCD4DB6BB447B8383D806E977B932"/>
    <w:rsid w:val="00D5460F"/>
    <w:pPr>
      <w:bidi/>
      <w:spacing w:after="0" w:line="240" w:lineRule="auto"/>
    </w:pPr>
    <w:rPr>
      <w:rFonts w:ascii="Times New Roman" w:eastAsia="Times New Roman" w:hAnsi="Times New Roman" w:cs="David"/>
      <w:noProof/>
      <w:sz w:val="24"/>
      <w:szCs w:val="24"/>
    </w:rPr>
  </w:style>
  <w:style w:type="paragraph" w:customStyle="1" w:styleId="1EA141613703416981E1682506ED1C57">
    <w:name w:val="1EA141613703416981E1682506ED1C57"/>
    <w:rsid w:val="00D5460F"/>
    <w:pPr>
      <w:bidi/>
      <w:spacing w:after="0" w:line="240" w:lineRule="auto"/>
    </w:pPr>
    <w:rPr>
      <w:rFonts w:ascii="Times New Roman" w:eastAsia="Times New Roman" w:hAnsi="Times New Roman" w:cs="David"/>
      <w:noProof/>
      <w:sz w:val="24"/>
      <w:szCs w:val="24"/>
    </w:rPr>
  </w:style>
  <w:style w:type="paragraph" w:customStyle="1" w:styleId="ADDC038CFDCE4D4EA21651546ECB982A">
    <w:name w:val="ADDC038CFDCE4D4EA21651546ECB982A"/>
    <w:rsid w:val="00D5460F"/>
    <w:pPr>
      <w:bidi/>
      <w:spacing w:after="0" w:line="240" w:lineRule="auto"/>
    </w:pPr>
    <w:rPr>
      <w:rFonts w:ascii="Times New Roman" w:eastAsia="Times New Roman" w:hAnsi="Times New Roman" w:cs="David"/>
      <w:noProof/>
      <w:sz w:val="24"/>
      <w:szCs w:val="24"/>
    </w:rPr>
  </w:style>
  <w:style w:type="paragraph" w:customStyle="1" w:styleId="6E5CCD4DB6BB447B8383D806E977B9321">
    <w:name w:val="6E5CCD4DB6BB447B8383D806E977B9321"/>
    <w:rsid w:val="00C4141B"/>
    <w:pPr>
      <w:bidi/>
      <w:spacing w:after="0" w:line="240" w:lineRule="auto"/>
    </w:pPr>
    <w:rPr>
      <w:rFonts w:ascii="Times New Roman" w:eastAsia="Times New Roman" w:hAnsi="Times New Roman" w:cs="David"/>
      <w:noProof/>
      <w:sz w:val="24"/>
      <w:szCs w:val="24"/>
    </w:rPr>
  </w:style>
  <w:style w:type="paragraph" w:customStyle="1" w:styleId="8FC68A5BD54A4968B0A5CDB8A6C11C11">
    <w:name w:val="8FC68A5BD54A4968B0A5CDB8A6C11C11"/>
    <w:rsid w:val="00C4141B"/>
    <w:pPr>
      <w:bidi/>
      <w:spacing w:after="0" w:line="240" w:lineRule="auto"/>
    </w:pPr>
    <w:rPr>
      <w:rFonts w:ascii="Times New Roman" w:eastAsia="Times New Roman" w:hAnsi="Times New Roman" w:cs="David"/>
      <w:noProof/>
      <w:sz w:val="24"/>
      <w:szCs w:val="24"/>
    </w:rPr>
  </w:style>
  <w:style w:type="paragraph" w:customStyle="1" w:styleId="85A87045BA9A416AB50E290F291A9CD7">
    <w:name w:val="85A87045BA9A416AB50E290F291A9CD7"/>
    <w:rsid w:val="00C4141B"/>
    <w:pPr>
      <w:bidi/>
      <w:spacing w:after="0" w:line="240" w:lineRule="auto"/>
    </w:pPr>
    <w:rPr>
      <w:rFonts w:ascii="Times New Roman" w:eastAsia="Times New Roman" w:hAnsi="Times New Roman" w:cs="David"/>
      <w:noProof/>
      <w:sz w:val="24"/>
      <w:szCs w:val="24"/>
    </w:rPr>
  </w:style>
  <w:style w:type="paragraph" w:customStyle="1" w:styleId="6E5CCD4DB6BB447B8383D806E977B9322">
    <w:name w:val="6E5CCD4DB6BB447B8383D806E977B9322"/>
    <w:rsid w:val="00C4141B"/>
    <w:pPr>
      <w:bidi/>
      <w:spacing w:after="0" w:line="240" w:lineRule="auto"/>
    </w:pPr>
    <w:rPr>
      <w:rFonts w:ascii="Times New Roman" w:eastAsia="Times New Roman" w:hAnsi="Times New Roman" w:cs="David"/>
      <w:noProof/>
      <w:sz w:val="24"/>
      <w:szCs w:val="24"/>
    </w:rPr>
  </w:style>
  <w:style w:type="paragraph" w:customStyle="1" w:styleId="6E5CCD4DB6BB447B8383D806E977B9323">
    <w:name w:val="6E5CCD4DB6BB447B8383D806E977B9323"/>
    <w:rsid w:val="00C4141B"/>
    <w:pPr>
      <w:bidi/>
      <w:spacing w:after="0" w:line="240" w:lineRule="auto"/>
    </w:pPr>
    <w:rPr>
      <w:rFonts w:ascii="Times New Roman" w:eastAsia="Times New Roman" w:hAnsi="Times New Roman" w:cs="David"/>
      <w:noProof/>
      <w:sz w:val="24"/>
      <w:szCs w:val="24"/>
    </w:rPr>
  </w:style>
  <w:style w:type="paragraph" w:customStyle="1" w:styleId="6E5CCD4DB6BB447B8383D806E977B9324">
    <w:name w:val="6E5CCD4DB6BB447B8383D806E977B9324"/>
    <w:rsid w:val="0005798D"/>
    <w:pPr>
      <w:bidi/>
      <w:spacing w:after="0" w:line="240" w:lineRule="auto"/>
    </w:pPr>
    <w:rPr>
      <w:rFonts w:ascii="Times New Roman" w:eastAsia="Times New Roman" w:hAnsi="Times New Roman" w:cs="David"/>
      <w:noProof/>
      <w:sz w:val="24"/>
      <w:szCs w:val="24"/>
    </w:rPr>
  </w:style>
  <w:style w:type="paragraph" w:customStyle="1" w:styleId="DC64E22A377F47ED8A9D021A15D1F96C">
    <w:name w:val="DC64E22A377F47ED8A9D021A15D1F96C"/>
    <w:rsid w:val="0005798D"/>
    <w:pPr>
      <w:bidi/>
      <w:spacing w:after="0" w:line="240" w:lineRule="auto"/>
    </w:pPr>
    <w:rPr>
      <w:rFonts w:ascii="Times New Roman" w:eastAsia="Times New Roman" w:hAnsi="Times New Roman" w:cs="David"/>
      <w:noProof/>
      <w:sz w:val="24"/>
      <w:szCs w:val="24"/>
    </w:rPr>
  </w:style>
  <w:style w:type="paragraph" w:customStyle="1" w:styleId="15766D57ADC2432EA78B9583FC656549">
    <w:name w:val="15766D57ADC2432EA78B9583FC656549"/>
    <w:rsid w:val="0005798D"/>
    <w:pPr>
      <w:bidi/>
      <w:spacing w:after="0" w:line="240" w:lineRule="auto"/>
    </w:pPr>
    <w:rPr>
      <w:rFonts w:ascii="Times New Roman" w:eastAsia="Times New Roman" w:hAnsi="Times New Roman" w:cs="David"/>
      <w:noProof/>
      <w:sz w:val="24"/>
      <w:szCs w:val="24"/>
    </w:rPr>
  </w:style>
  <w:style w:type="paragraph" w:customStyle="1" w:styleId="6E5CCD4DB6BB447B8383D806E977B9325">
    <w:name w:val="6E5CCD4DB6BB447B8383D806E977B9325"/>
    <w:rsid w:val="003E24AE"/>
    <w:pPr>
      <w:bidi/>
      <w:spacing w:after="0" w:line="240" w:lineRule="auto"/>
    </w:pPr>
    <w:rPr>
      <w:rFonts w:ascii="Times New Roman" w:eastAsia="Times New Roman" w:hAnsi="Times New Roman" w:cs="David"/>
      <w:noProof/>
      <w:sz w:val="24"/>
      <w:szCs w:val="24"/>
    </w:rPr>
  </w:style>
  <w:style w:type="paragraph" w:customStyle="1" w:styleId="ED284E57178D4F72953480EE13516029">
    <w:name w:val="ED284E57178D4F72953480EE13516029"/>
    <w:rsid w:val="003E24AE"/>
    <w:pPr>
      <w:bidi/>
      <w:spacing w:after="0" w:line="240" w:lineRule="auto"/>
    </w:pPr>
    <w:rPr>
      <w:rFonts w:ascii="Times New Roman" w:eastAsia="Times New Roman" w:hAnsi="Times New Roman" w:cs="David"/>
      <w:noProof/>
      <w:sz w:val="24"/>
      <w:szCs w:val="24"/>
    </w:rPr>
  </w:style>
  <w:style w:type="paragraph" w:customStyle="1" w:styleId="9B3BEECACDA8442DB34AA820FCAB522E">
    <w:name w:val="9B3BEECACDA8442DB34AA820FCAB522E"/>
    <w:rsid w:val="003E24AE"/>
    <w:pPr>
      <w:bidi/>
      <w:spacing w:after="0" w:line="240" w:lineRule="auto"/>
    </w:pPr>
    <w:rPr>
      <w:rFonts w:ascii="Times New Roman" w:eastAsia="Times New Roman" w:hAnsi="Times New Roman" w:cs="David"/>
      <w:noProof/>
      <w:sz w:val="24"/>
      <w:szCs w:val="24"/>
    </w:rPr>
  </w:style>
  <w:style w:type="paragraph" w:customStyle="1" w:styleId="6E5CCD4DB6BB447B8383D806E977B9326">
    <w:name w:val="6E5CCD4DB6BB447B8383D806E977B9326"/>
    <w:rsid w:val="00642001"/>
    <w:pPr>
      <w:bidi/>
      <w:spacing w:after="0" w:line="240" w:lineRule="auto"/>
    </w:pPr>
    <w:rPr>
      <w:rFonts w:ascii="Times New Roman" w:eastAsia="Times New Roman" w:hAnsi="Times New Roman" w:cs="David"/>
      <w:noProof/>
      <w:sz w:val="24"/>
      <w:szCs w:val="24"/>
    </w:rPr>
  </w:style>
  <w:style w:type="paragraph" w:customStyle="1" w:styleId="6E5CCD4DB6BB447B8383D806E977B9327">
    <w:name w:val="6E5CCD4DB6BB447B8383D806E977B9327"/>
    <w:rsid w:val="0015524C"/>
    <w:pPr>
      <w:bidi/>
      <w:spacing w:after="0" w:line="240" w:lineRule="auto"/>
    </w:pPr>
    <w:rPr>
      <w:rFonts w:ascii="Times New Roman" w:eastAsia="Times New Roman" w:hAnsi="Times New Roman" w:cs="David"/>
      <w:noProof/>
      <w:sz w:val="24"/>
      <w:szCs w:val="24"/>
    </w:rPr>
  </w:style>
  <w:style w:type="paragraph" w:customStyle="1" w:styleId="F69C83118BC5455B8DBC07B0D0A49286">
    <w:name w:val="F69C83118BC5455B8DBC07B0D0A49286"/>
    <w:rsid w:val="0015524C"/>
    <w:pPr>
      <w:bidi/>
      <w:spacing w:after="0" w:line="240" w:lineRule="auto"/>
    </w:pPr>
    <w:rPr>
      <w:rFonts w:ascii="Times New Roman" w:eastAsia="Times New Roman" w:hAnsi="Times New Roman" w:cs="David"/>
      <w:noProof/>
      <w:sz w:val="24"/>
      <w:szCs w:val="24"/>
    </w:rPr>
  </w:style>
  <w:style w:type="paragraph" w:customStyle="1" w:styleId="642C1E87D281476DBD9D0D00971E2C6A">
    <w:name w:val="642C1E87D281476DBD9D0D00971E2C6A"/>
    <w:rsid w:val="0015524C"/>
    <w:pPr>
      <w:bidi/>
      <w:spacing w:after="0" w:line="240" w:lineRule="auto"/>
    </w:pPr>
    <w:rPr>
      <w:rFonts w:ascii="Times New Roman" w:eastAsia="Times New Roman" w:hAnsi="Times New Roman" w:cs="David"/>
      <w:noProof/>
      <w:sz w:val="24"/>
      <w:szCs w:val="24"/>
    </w:rPr>
  </w:style>
  <w:style w:type="paragraph" w:customStyle="1" w:styleId="95F4673BB06D4909BAE6DC3C1AF942A8">
    <w:name w:val="95F4673BB06D4909BAE6DC3C1AF942A8"/>
    <w:rsid w:val="0015524C"/>
    <w:pPr>
      <w:bidi/>
      <w:spacing w:after="0" w:line="240" w:lineRule="auto"/>
    </w:pPr>
    <w:rPr>
      <w:rFonts w:ascii="Times New Roman" w:eastAsia="Times New Roman" w:hAnsi="Times New Roman" w:cs="David"/>
      <w:noProof/>
      <w:sz w:val="24"/>
      <w:szCs w:val="24"/>
    </w:rPr>
  </w:style>
  <w:style w:type="paragraph" w:customStyle="1" w:styleId="6E5CCD4DB6BB447B8383D806E977B9328">
    <w:name w:val="6E5CCD4DB6BB447B8383D806E977B9328"/>
    <w:rsid w:val="0015524C"/>
    <w:pPr>
      <w:bidi/>
      <w:spacing w:after="0" w:line="240" w:lineRule="auto"/>
    </w:pPr>
    <w:rPr>
      <w:rFonts w:ascii="Times New Roman" w:eastAsia="Times New Roman" w:hAnsi="Times New Roman" w:cs="David"/>
      <w:noProof/>
      <w:sz w:val="24"/>
      <w:szCs w:val="24"/>
    </w:rPr>
  </w:style>
  <w:style w:type="paragraph" w:customStyle="1" w:styleId="6E5CCD4DB6BB447B8383D806E977B9329">
    <w:name w:val="6E5CCD4DB6BB447B8383D806E977B9329"/>
    <w:rsid w:val="00BB1113"/>
    <w:pPr>
      <w:bidi/>
      <w:spacing w:after="0" w:line="240" w:lineRule="auto"/>
    </w:pPr>
    <w:rPr>
      <w:rFonts w:ascii="Times New Roman" w:eastAsia="Times New Roman" w:hAnsi="Times New Roman" w:cs="David"/>
      <w:noProof/>
      <w:sz w:val="24"/>
      <w:szCs w:val="24"/>
    </w:rPr>
  </w:style>
  <w:style w:type="paragraph" w:customStyle="1" w:styleId="5473FE7C595245C8BEE4CA2D0F061B7B">
    <w:name w:val="5473FE7C595245C8BEE4CA2D0F061B7B"/>
    <w:rsid w:val="00BB1113"/>
    <w:pPr>
      <w:bidi/>
      <w:spacing w:after="0" w:line="240" w:lineRule="auto"/>
    </w:pPr>
    <w:rPr>
      <w:rFonts w:ascii="Times New Roman" w:eastAsia="Times New Roman" w:hAnsi="Times New Roman" w:cs="David"/>
      <w:noProof/>
      <w:sz w:val="24"/>
      <w:szCs w:val="24"/>
    </w:rPr>
  </w:style>
  <w:style w:type="paragraph" w:customStyle="1" w:styleId="ADEDB763A47342BE935031C46C6E1DBA">
    <w:name w:val="ADEDB763A47342BE935031C46C6E1DBA"/>
    <w:rsid w:val="00BB1113"/>
    <w:pPr>
      <w:bidi/>
      <w:spacing w:after="0" w:line="240" w:lineRule="auto"/>
    </w:pPr>
    <w:rPr>
      <w:rFonts w:ascii="Times New Roman" w:eastAsia="Times New Roman" w:hAnsi="Times New Roman" w:cs="David"/>
      <w:noProof/>
      <w:sz w:val="24"/>
      <w:szCs w:val="24"/>
    </w:rPr>
  </w:style>
  <w:style w:type="paragraph" w:customStyle="1" w:styleId="642C1E87D281476DBD9D0D00971E2C6A1">
    <w:name w:val="642C1E87D281476DBD9D0D00971E2C6A1"/>
    <w:rsid w:val="00BB1113"/>
    <w:pPr>
      <w:bidi/>
      <w:spacing w:after="0" w:line="240" w:lineRule="auto"/>
    </w:pPr>
    <w:rPr>
      <w:rFonts w:ascii="Times New Roman" w:eastAsia="Times New Roman" w:hAnsi="Times New Roman" w:cs="David"/>
      <w:noProof/>
      <w:sz w:val="24"/>
      <w:szCs w:val="24"/>
    </w:rPr>
  </w:style>
  <w:style w:type="paragraph" w:customStyle="1" w:styleId="95F4673BB06D4909BAE6DC3C1AF942A81">
    <w:name w:val="95F4673BB06D4909BAE6DC3C1AF942A81"/>
    <w:rsid w:val="00BB1113"/>
    <w:pPr>
      <w:bidi/>
      <w:spacing w:after="0" w:line="240" w:lineRule="auto"/>
    </w:pPr>
    <w:rPr>
      <w:rFonts w:ascii="Times New Roman" w:eastAsia="Times New Roman" w:hAnsi="Times New Roman" w:cs="David"/>
      <w:noProof/>
      <w:sz w:val="24"/>
      <w:szCs w:val="24"/>
    </w:rPr>
  </w:style>
  <w:style w:type="paragraph" w:customStyle="1" w:styleId="6E5CCD4DB6BB447B8383D806E977B93210">
    <w:name w:val="6E5CCD4DB6BB447B8383D806E977B93210"/>
    <w:rsid w:val="00D7301D"/>
    <w:pPr>
      <w:bidi/>
      <w:spacing w:after="0" w:line="240" w:lineRule="auto"/>
    </w:pPr>
    <w:rPr>
      <w:rFonts w:ascii="Times New Roman" w:eastAsia="Times New Roman" w:hAnsi="Times New Roman" w:cs="David"/>
      <w:noProof/>
      <w:sz w:val="24"/>
      <w:szCs w:val="24"/>
    </w:rPr>
  </w:style>
  <w:style w:type="paragraph" w:customStyle="1" w:styleId="5473FE7C595245C8BEE4CA2D0F061B7B1">
    <w:name w:val="5473FE7C595245C8BEE4CA2D0F061B7B1"/>
    <w:rsid w:val="00D7301D"/>
    <w:pPr>
      <w:bidi/>
      <w:spacing w:after="0" w:line="240" w:lineRule="auto"/>
    </w:pPr>
    <w:rPr>
      <w:rFonts w:ascii="Times New Roman" w:eastAsia="Times New Roman" w:hAnsi="Times New Roman" w:cs="David"/>
      <w:noProof/>
      <w:sz w:val="24"/>
      <w:szCs w:val="24"/>
    </w:rPr>
  </w:style>
  <w:style w:type="paragraph" w:customStyle="1" w:styleId="ADEDB763A47342BE935031C46C6E1DBA1">
    <w:name w:val="ADEDB763A47342BE935031C46C6E1DBA1"/>
    <w:rsid w:val="00D7301D"/>
    <w:pPr>
      <w:bidi/>
      <w:spacing w:after="0" w:line="240" w:lineRule="auto"/>
    </w:pPr>
    <w:rPr>
      <w:rFonts w:ascii="Times New Roman" w:eastAsia="Times New Roman" w:hAnsi="Times New Roman" w:cs="David"/>
      <w:noProof/>
      <w:sz w:val="24"/>
      <w:szCs w:val="24"/>
    </w:rPr>
  </w:style>
  <w:style w:type="paragraph" w:customStyle="1" w:styleId="CB819691CFD548BB8F799A9CD7AF0EA5">
    <w:name w:val="CB819691CFD548BB8F799A9CD7AF0EA5"/>
    <w:rsid w:val="00D7301D"/>
    <w:pPr>
      <w:bidi/>
      <w:spacing w:after="0" w:line="240" w:lineRule="auto"/>
    </w:pPr>
    <w:rPr>
      <w:rFonts w:ascii="Times New Roman" w:eastAsia="Times New Roman" w:hAnsi="Times New Roman" w:cs="David"/>
      <w:noProof/>
      <w:sz w:val="24"/>
      <w:szCs w:val="24"/>
    </w:rPr>
  </w:style>
  <w:style w:type="paragraph" w:customStyle="1" w:styleId="8EADD095B2E5406FBB493767F880C4E6">
    <w:name w:val="8EADD095B2E5406FBB493767F880C4E6"/>
    <w:rsid w:val="00D7301D"/>
    <w:pPr>
      <w:bidi/>
      <w:spacing w:after="0" w:line="240" w:lineRule="auto"/>
    </w:pPr>
    <w:rPr>
      <w:rFonts w:ascii="Times New Roman" w:eastAsia="Times New Roman" w:hAnsi="Times New Roman" w:cs="David"/>
      <w:noProof/>
      <w:sz w:val="24"/>
      <w:szCs w:val="24"/>
    </w:rPr>
  </w:style>
  <w:style w:type="paragraph" w:customStyle="1" w:styleId="6E5CCD4DB6BB447B8383D806E977B93211">
    <w:name w:val="6E5CCD4DB6BB447B8383D806E977B93211"/>
    <w:rsid w:val="009471B2"/>
    <w:pPr>
      <w:bidi/>
      <w:spacing w:after="0" w:line="240" w:lineRule="auto"/>
    </w:pPr>
    <w:rPr>
      <w:rFonts w:ascii="Times New Roman" w:eastAsia="Times New Roman" w:hAnsi="Times New Roman" w:cs="David"/>
      <w:noProof/>
      <w:sz w:val="24"/>
      <w:szCs w:val="24"/>
    </w:rPr>
  </w:style>
  <w:style w:type="paragraph" w:customStyle="1" w:styleId="5473FE7C595245C8BEE4CA2D0F061B7B2">
    <w:name w:val="5473FE7C595245C8BEE4CA2D0F061B7B2"/>
    <w:rsid w:val="009471B2"/>
    <w:pPr>
      <w:bidi/>
      <w:spacing w:after="0" w:line="240" w:lineRule="auto"/>
    </w:pPr>
    <w:rPr>
      <w:rFonts w:ascii="Times New Roman" w:eastAsia="Times New Roman" w:hAnsi="Times New Roman" w:cs="David"/>
      <w:noProof/>
      <w:sz w:val="24"/>
      <w:szCs w:val="24"/>
    </w:rPr>
  </w:style>
  <w:style w:type="paragraph" w:customStyle="1" w:styleId="ADEDB763A47342BE935031C46C6E1DBA2">
    <w:name w:val="ADEDB763A47342BE935031C46C6E1DBA2"/>
    <w:rsid w:val="009471B2"/>
    <w:pPr>
      <w:bidi/>
      <w:spacing w:after="0" w:line="240" w:lineRule="auto"/>
    </w:pPr>
    <w:rPr>
      <w:rFonts w:ascii="Times New Roman" w:eastAsia="Times New Roman" w:hAnsi="Times New Roman" w:cs="David"/>
      <w:noProof/>
      <w:sz w:val="24"/>
      <w:szCs w:val="24"/>
    </w:rPr>
  </w:style>
  <w:style w:type="paragraph" w:customStyle="1" w:styleId="880A0838A4B741698D7843055E98B6DC">
    <w:name w:val="880A0838A4B741698D7843055E98B6DC"/>
    <w:rsid w:val="009471B2"/>
    <w:pPr>
      <w:bidi/>
      <w:spacing w:after="0" w:line="240" w:lineRule="auto"/>
    </w:pPr>
    <w:rPr>
      <w:rFonts w:ascii="Times New Roman" w:eastAsia="Times New Roman" w:hAnsi="Times New Roman" w:cs="David"/>
      <w:noProof/>
      <w:sz w:val="24"/>
      <w:szCs w:val="24"/>
    </w:rPr>
  </w:style>
  <w:style w:type="paragraph" w:customStyle="1" w:styleId="756B1ECE79634F2188B16D7B57FF740D">
    <w:name w:val="756B1ECE79634F2188B16D7B57FF740D"/>
    <w:rsid w:val="009471B2"/>
    <w:pPr>
      <w:bidi/>
      <w:spacing w:after="0" w:line="240" w:lineRule="auto"/>
    </w:pPr>
    <w:rPr>
      <w:rFonts w:ascii="Times New Roman" w:eastAsia="Times New Roman" w:hAnsi="Times New Roman" w:cs="David"/>
      <w:noProof/>
      <w:sz w:val="24"/>
      <w:szCs w:val="24"/>
    </w:rPr>
  </w:style>
  <w:style w:type="paragraph" w:customStyle="1" w:styleId="5CCD29C71CF8465198EB1FF210B13DC2">
    <w:name w:val="5CCD29C71CF8465198EB1FF210B13DC2"/>
    <w:rsid w:val="00C66752"/>
    <w:pPr>
      <w:bidi/>
      <w:spacing w:after="160" w:line="259"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66752"/>
  </w:style>
  <w:style w:type="paragraph" w:customStyle="1" w:styleId="93548AE70E8A4AAEAE945C1D50EBA813">
    <w:name w:val="93548AE70E8A4AAEAE945C1D50EBA813"/>
    <w:rsid w:val="00BE5E9E"/>
    <w:pPr>
      <w:bidi/>
    </w:pPr>
  </w:style>
  <w:style w:type="paragraph" w:customStyle="1" w:styleId="E5FAA607A0A6472E9A0C0FD5EA09C787">
    <w:name w:val="E5FAA607A0A6472E9A0C0FD5EA09C787"/>
    <w:rsid w:val="00196E31"/>
    <w:pPr>
      <w:bidi/>
      <w:spacing w:after="0" w:line="240" w:lineRule="auto"/>
    </w:pPr>
    <w:rPr>
      <w:rFonts w:ascii="Times New Roman" w:eastAsia="Times New Roman" w:hAnsi="Times New Roman" w:cs="David"/>
      <w:noProof/>
      <w:sz w:val="24"/>
      <w:szCs w:val="24"/>
    </w:rPr>
  </w:style>
  <w:style w:type="paragraph" w:customStyle="1" w:styleId="382B874EFBD04788A749AE4544F12E5C">
    <w:name w:val="382B874EFBD04788A749AE4544F12E5C"/>
    <w:rsid w:val="00196E31"/>
    <w:pPr>
      <w:bidi/>
      <w:spacing w:after="0" w:line="240" w:lineRule="auto"/>
    </w:pPr>
    <w:rPr>
      <w:rFonts w:ascii="Times New Roman" w:eastAsia="Times New Roman" w:hAnsi="Times New Roman" w:cs="David"/>
      <w:noProof/>
      <w:sz w:val="24"/>
      <w:szCs w:val="24"/>
    </w:rPr>
  </w:style>
  <w:style w:type="paragraph" w:customStyle="1" w:styleId="6E5CCD4DB6BB447B8383D806E977B932">
    <w:name w:val="6E5CCD4DB6BB447B8383D806E977B932"/>
    <w:rsid w:val="00D5460F"/>
    <w:pPr>
      <w:bidi/>
      <w:spacing w:after="0" w:line="240" w:lineRule="auto"/>
    </w:pPr>
    <w:rPr>
      <w:rFonts w:ascii="Times New Roman" w:eastAsia="Times New Roman" w:hAnsi="Times New Roman" w:cs="David"/>
      <w:noProof/>
      <w:sz w:val="24"/>
      <w:szCs w:val="24"/>
    </w:rPr>
  </w:style>
  <w:style w:type="paragraph" w:customStyle="1" w:styleId="1EA141613703416981E1682506ED1C57">
    <w:name w:val="1EA141613703416981E1682506ED1C57"/>
    <w:rsid w:val="00D5460F"/>
    <w:pPr>
      <w:bidi/>
      <w:spacing w:after="0" w:line="240" w:lineRule="auto"/>
    </w:pPr>
    <w:rPr>
      <w:rFonts w:ascii="Times New Roman" w:eastAsia="Times New Roman" w:hAnsi="Times New Roman" w:cs="David"/>
      <w:noProof/>
      <w:sz w:val="24"/>
      <w:szCs w:val="24"/>
    </w:rPr>
  </w:style>
  <w:style w:type="paragraph" w:customStyle="1" w:styleId="ADDC038CFDCE4D4EA21651546ECB982A">
    <w:name w:val="ADDC038CFDCE4D4EA21651546ECB982A"/>
    <w:rsid w:val="00D5460F"/>
    <w:pPr>
      <w:bidi/>
      <w:spacing w:after="0" w:line="240" w:lineRule="auto"/>
    </w:pPr>
    <w:rPr>
      <w:rFonts w:ascii="Times New Roman" w:eastAsia="Times New Roman" w:hAnsi="Times New Roman" w:cs="David"/>
      <w:noProof/>
      <w:sz w:val="24"/>
      <w:szCs w:val="24"/>
    </w:rPr>
  </w:style>
  <w:style w:type="paragraph" w:customStyle="1" w:styleId="6E5CCD4DB6BB447B8383D806E977B9321">
    <w:name w:val="6E5CCD4DB6BB447B8383D806E977B9321"/>
    <w:rsid w:val="00C4141B"/>
    <w:pPr>
      <w:bidi/>
      <w:spacing w:after="0" w:line="240" w:lineRule="auto"/>
    </w:pPr>
    <w:rPr>
      <w:rFonts w:ascii="Times New Roman" w:eastAsia="Times New Roman" w:hAnsi="Times New Roman" w:cs="David"/>
      <w:noProof/>
      <w:sz w:val="24"/>
      <w:szCs w:val="24"/>
    </w:rPr>
  </w:style>
  <w:style w:type="paragraph" w:customStyle="1" w:styleId="8FC68A5BD54A4968B0A5CDB8A6C11C11">
    <w:name w:val="8FC68A5BD54A4968B0A5CDB8A6C11C11"/>
    <w:rsid w:val="00C4141B"/>
    <w:pPr>
      <w:bidi/>
      <w:spacing w:after="0" w:line="240" w:lineRule="auto"/>
    </w:pPr>
    <w:rPr>
      <w:rFonts w:ascii="Times New Roman" w:eastAsia="Times New Roman" w:hAnsi="Times New Roman" w:cs="David"/>
      <w:noProof/>
      <w:sz w:val="24"/>
      <w:szCs w:val="24"/>
    </w:rPr>
  </w:style>
  <w:style w:type="paragraph" w:customStyle="1" w:styleId="85A87045BA9A416AB50E290F291A9CD7">
    <w:name w:val="85A87045BA9A416AB50E290F291A9CD7"/>
    <w:rsid w:val="00C4141B"/>
    <w:pPr>
      <w:bidi/>
      <w:spacing w:after="0" w:line="240" w:lineRule="auto"/>
    </w:pPr>
    <w:rPr>
      <w:rFonts w:ascii="Times New Roman" w:eastAsia="Times New Roman" w:hAnsi="Times New Roman" w:cs="David"/>
      <w:noProof/>
      <w:sz w:val="24"/>
      <w:szCs w:val="24"/>
    </w:rPr>
  </w:style>
  <w:style w:type="paragraph" w:customStyle="1" w:styleId="6E5CCD4DB6BB447B8383D806E977B9322">
    <w:name w:val="6E5CCD4DB6BB447B8383D806E977B9322"/>
    <w:rsid w:val="00C4141B"/>
    <w:pPr>
      <w:bidi/>
      <w:spacing w:after="0" w:line="240" w:lineRule="auto"/>
    </w:pPr>
    <w:rPr>
      <w:rFonts w:ascii="Times New Roman" w:eastAsia="Times New Roman" w:hAnsi="Times New Roman" w:cs="David"/>
      <w:noProof/>
      <w:sz w:val="24"/>
      <w:szCs w:val="24"/>
    </w:rPr>
  </w:style>
  <w:style w:type="paragraph" w:customStyle="1" w:styleId="6E5CCD4DB6BB447B8383D806E977B9323">
    <w:name w:val="6E5CCD4DB6BB447B8383D806E977B9323"/>
    <w:rsid w:val="00C4141B"/>
    <w:pPr>
      <w:bidi/>
      <w:spacing w:after="0" w:line="240" w:lineRule="auto"/>
    </w:pPr>
    <w:rPr>
      <w:rFonts w:ascii="Times New Roman" w:eastAsia="Times New Roman" w:hAnsi="Times New Roman" w:cs="David"/>
      <w:noProof/>
      <w:sz w:val="24"/>
      <w:szCs w:val="24"/>
    </w:rPr>
  </w:style>
  <w:style w:type="paragraph" w:customStyle="1" w:styleId="6E5CCD4DB6BB447B8383D806E977B9324">
    <w:name w:val="6E5CCD4DB6BB447B8383D806E977B9324"/>
    <w:rsid w:val="0005798D"/>
    <w:pPr>
      <w:bidi/>
      <w:spacing w:after="0" w:line="240" w:lineRule="auto"/>
    </w:pPr>
    <w:rPr>
      <w:rFonts w:ascii="Times New Roman" w:eastAsia="Times New Roman" w:hAnsi="Times New Roman" w:cs="David"/>
      <w:noProof/>
      <w:sz w:val="24"/>
      <w:szCs w:val="24"/>
    </w:rPr>
  </w:style>
  <w:style w:type="paragraph" w:customStyle="1" w:styleId="DC64E22A377F47ED8A9D021A15D1F96C">
    <w:name w:val="DC64E22A377F47ED8A9D021A15D1F96C"/>
    <w:rsid w:val="0005798D"/>
    <w:pPr>
      <w:bidi/>
      <w:spacing w:after="0" w:line="240" w:lineRule="auto"/>
    </w:pPr>
    <w:rPr>
      <w:rFonts w:ascii="Times New Roman" w:eastAsia="Times New Roman" w:hAnsi="Times New Roman" w:cs="David"/>
      <w:noProof/>
      <w:sz w:val="24"/>
      <w:szCs w:val="24"/>
    </w:rPr>
  </w:style>
  <w:style w:type="paragraph" w:customStyle="1" w:styleId="15766D57ADC2432EA78B9583FC656549">
    <w:name w:val="15766D57ADC2432EA78B9583FC656549"/>
    <w:rsid w:val="0005798D"/>
    <w:pPr>
      <w:bidi/>
      <w:spacing w:after="0" w:line="240" w:lineRule="auto"/>
    </w:pPr>
    <w:rPr>
      <w:rFonts w:ascii="Times New Roman" w:eastAsia="Times New Roman" w:hAnsi="Times New Roman" w:cs="David"/>
      <w:noProof/>
      <w:sz w:val="24"/>
      <w:szCs w:val="24"/>
    </w:rPr>
  </w:style>
  <w:style w:type="paragraph" w:customStyle="1" w:styleId="6E5CCD4DB6BB447B8383D806E977B9325">
    <w:name w:val="6E5CCD4DB6BB447B8383D806E977B9325"/>
    <w:rsid w:val="003E24AE"/>
    <w:pPr>
      <w:bidi/>
      <w:spacing w:after="0" w:line="240" w:lineRule="auto"/>
    </w:pPr>
    <w:rPr>
      <w:rFonts w:ascii="Times New Roman" w:eastAsia="Times New Roman" w:hAnsi="Times New Roman" w:cs="David"/>
      <w:noProof/>
      <w:sz w:val="24"/>
      <w:szCs w:val="24"/>
    </w:rPr>
  </w:style>
  <w:style w:type="paragraph" w:customStyle="1" w:styleId="ED284E57178D4F72953480EE13516029">
    <w:name w:val="ED284E57178D4F72953480EE13516029"/>
    <w:rsid w:val="003E24AE"/>
    <w:pPr>
      <w:bidi/>
      <w:spacing w:after="0" w:line="240" w:lineRule="auto"/>
    </w:pPr>
    <w:rPr>
      <w:rFonts w:ascii="Times New Roman" w:eastAsia="Times New Roman" w:hAnsi="Times New Roman" w:cs="David"/>
      <w:noProof/>
      <w:sz w:val="24"/>
      <w:szCs w:val="24"/>
    </w:rPr>
  </w:style>
  <w:style w:type="paragraph" w:customStyle="1" w:styleId="9B3BEECACDA8442DB34AA820FCAB522E">
    <w:name w:val="9B3BEECACDA8442DB34AA820FCAB522E"/>
    <w:rsid w:val="003E24AE"/>
    <w:pPr>
      <w:bidi/>
      <w:spacing w:after="0" w:line="240" w:lineRule="auto"/>
    </w:pPr>
    <w:rPr>
      <w:rFonts w:ascii="Times New Roman" w:eastAsia="Times New Roman" w:hAnsi="Times New Roman" w:cs="David"/>
      <w:noProof/>
      <w:sz w:val="24"/>
      <w:szCs w:val="24"/>
    </w:rPr>
  </w:style>
  <w:style w:type="paragraph" w:customStyle="1" w:styleId="6E5CCD4DB6BB447B8383D806E977B9326">
    <w:name w:val="6E5CCD4DB6BB447B8383D806E977B9326"/>
    <w:rsid w:val="00642001"/>
    <w:pPr>
      <w:bidi/>
      <w:spacing w:after="0" w:line="240" w:lineRule="auto"/>
    </w:pPr>
    <w:rPr>
      <w:rFonts w:ascii="Times New Roman" w:eastAsia="Times New Roman" w:hAnsi="Times New Roman" w:cs="David"/>
      <w:noProof/>
      <w:sz w:val="24"/>
      <w:szCs w:val="24"/>
    </w:rPr>
  </w:style>
  <w:style w:type="paragraph" w:customStyle="1" w:styleId="6E5CCD4DB6BB447B8383D806E977B9327">
    <w:name w:val="6E5CCD4DB6BB447B8383D806E977B9327"/>
    <w:rsid w:val="0015524C"/>
    <w:pPr>
      <w:bidi/>
      <w:spacing w:after="0" w:line="240" w:lineRule="auto"/>
    </w:pPr>
    <w:rPr>
      <w:rFonts w:ascii="Times New Roman" w:eastAsia="Times New Roman" w:hAnsi="Times New Roman" w:cs="David"/>
      <w:noProof/>
      <w:sz w:val="24"/>
      <w:szCs w:val="24"/>
    </w:rPr>
  </w:style>
  <w:style w:type="paragraph" w:customStyle="1" w:styleId="F69C83118BC5455B8DBC07B0D0A49286">
    <w:name w:val="F69C83118BC5455B8DBC07B0D0A49286"/>
    <w:rsid w:val="0015524C"/>
    <w:pPr>
      <w:bidi/>
      <w:spacing w:after="0" w:line="240" w:lineRule="auto"/>
    </w:pPr>
    <w:rPr>
      <w:rFonts w:ascii="Times New Roman" w:eastAsia="Times New Roman" w:hAnsi="Times New Roman" w:cs="David"/>
      <w:noProof/>
      <w:sz w:val="24"/>
      <w:szCs w:val="24"/>
    </w:rPr>
  </w:style>
  <w:style w:type="paragraph" w:customStyle="1" w:styleId="642C1E87D281476DBD9D0D00971E2C6A">
    <w:name w:val="642C1E87D281476DBD9D0D00971E2C6A"/>
    <w:rsid w:val="0015524C"/>
    <w:pPr>
      <w:bidi/>
      <w:spacing w:after="0" w:line="240" w:lineRule="auto"/>
    </w:pPr>
    <w:rPr>
      <w:rFonts w:ascii="Times New Roman" w:eastAsia="Times New Roman" w:hAnsi="Times New Roman" w:cs="David"/>
      <w:noProof/>
      <w:sz w:val="24"/>
      <w:szCs w:val="24"/>
    </w:rPr>
  </w:style>
  <w:style w:type="paragraph" w:customStyle="1" w:styleId="95F4673BB06D4909BAE6DC3C1AF942A8">
    <w:name w:val="95F4673BB06D4909BAE6DC3C1AF942A8"/>
    <w:rsid w:val="0015524C"/>
    <w:pPr>
      <w:bidi/>
      <w:spacing w:after="0" w:line="240" w:lineRule="auto"/>
    </w:pPr>
    <w:rPr>
      <w:rFonts w:ascii="Times New Roman" w:eastAsia="Times New Roman" w:hAnsi="Times New Roman" w:cs="David"/>
      <w:noProof/>
      <w:sz w:val="24"/>
      <w:szCs w:val="24"/>
    </w:rPr>
  </w:style>
  <w:style w:type="paragraph" w:customStyle="1" w:styleId="6E5CCD4DB6BB447B8383D806E977B9328">
    <w:name w:val="6E5CCD4DB6BB447B8383D806E977B9328"/>
    <w:rsid w:val="0015524C"/>
    <w:pPr>
      <w:bidi/>
      <w:spacing w:after="0" w:line="240" w:lineRule="auto"/>
    </w:pPr>
    <w:rPr>
      <w:rFonts w:ascii="Times New Roman" w:eastAsia="Times New Roman" w:hAnsi="Times New Roman" w:cs="David"/>
      <w:noProof/>
      <w:sz w:val="24"/>
      <w:szCs w:val="24"/>
    </w:rPr>
  </w:style>
  <w:style w:type="paragraph" w:customStyle="1" w:styleId="6E5CCD4DB6BB447B8383D806E977B9329">
    <w:name w:val="6E5CCD4DB6BB447B8383D806E977B9329"/>
    <w:rsid w:val="00BB1113"/>
    <w:pPr>
      <w:bidi/>
      <w:spacing w:after="0" w:line="240" w:lineRule="auto"/>
    </w:pPr>
    <w:rPr>
      <w:rFonts w:ascii="Times New Roman" w:eastAsia="Times New Roman" w:hAnsi="Times New Roman" w:cs="David"/>
      <w:noProof/>
      <w:sz w:val="24"/>
      <w:szCs w:val="24"/>
    </w:rPr>
  </w:style>
  <w:style w:type="paragraph" w:customStyle="1" w:styleId="5473FE7C595245C8BEE4CA2D0F061B7B">
    <w:name w:val="5473FE7C595245C8BEE4CA2D0F061B7B"/>
    <w:rsid w:val="00BB1113"/>
    <w:pPr>
      <w:bidi/>
      <w:spacing w:after="0" w:line="240" w:lineRule="auto"/>
    </w:pPr>
    <w:rPr>
      <w:rFonts w:ascii="Times New Roman" w:eastAsia="Times New Roman" w:hAnsi="Times New Roman" w:cs="David"/>
      <w:noProof/>
      <w:sz w:val="24"/>
      <w:szCs w:val="24"/>
    </w:rPr>
  </w:style>
  <w:style w:type="paragraph" w:customStyle="1" w:styleId="ADEDB763A47342BE935031C46C6E1DBA">
    <w:name w:val="ADEDB763A47342BE935031C46C6E1DBA"/>
    <w:rsid w:val="00BB1113"/>
    <w:pPr>
      <w:bidi/>
      <w:spacing w:after="0" w:line="240" w:lineRule="auto"/>
    </w:pPr>
    <w:rPr>
      <w:rFonts w:ascii="Times New Roman" w:eastAsia="Times New Roman" w:hAnsi="Times New Roman" w:cs="David"/>
      <w:noProof/>
      <w:sz w:val="24"/>
      <w:szCs w:val="24"/>
    </w:rPr>
  </w:style>
  <w:style w:type="paragraph" w:customStyle="1" w:styleId="642C1E87D281476DBD9D0D00971E2C6A1">
    <w:name w:val="642C1E87D281476DBD9D0D00971E2C6A1"/>
    <w:rsid w:val="00BB1113"/>
    <w:pPr>
      <w:bidi/>
      <w:spacing w:after="0" w:line="240" w:lineRule="auto"/>
    </w:pPr>
    <w:rPr>
      <w:rFonts w:ascii="Times New Roman" w:eastAsia="Times New Roman" w:hAnsi="Times New Roman" w:cs="David"/>
      <w:noProof/>
      <w:sz w:val="24"/>
      <w:szCs w:val="24"/>
    </w:rPr>
  </w:style>
  <w:style w:type="paragraph" w:customStyle="1" w:styleId="95F4673BB06D4909BAE6DC3C1AF942A81">
    <w:name w:val="95F4673BB06D4909BAE6DC3C1AF942A81"/>
    <w:rsid w:val="00BB1113"/>
    <w:pPr>
      <w:bidi/>
      <w:spacing w:after="0" w:line="240" w:lineRule="auto"/>
    </w:pPr>
    <w:rPr>
      <w:rFonts w:ascii="Times New Roman" w:eastAsia="Times New Roman" w:hAnsi="Times New Roman" w:cs="David"/>
      <w:noProof/>
      <w:sz w:val="24"/>
      <w:szCs w:val="24"/>
    </w:rPr>
  </w:style>
  <w:style w:type="paragraph" w:customStyle="1" w:styleId="6E5CCD4DB6BB447B8383D806E977B93210">
    <w:name w:val="6E5CCD4DB6BB447B8383D806E977B93210"/>
    <w:rsid w:val="00D7301D"/>
    <w:pPr>
      <w:bidi/>
      <w:spacing w:after="0" w:line="240" w:lineRule="auto"/>
    </w:pPr>
    <w:rPr>
      <w:rFonts w:ascii="Times New Roman" w:eastAsia="Times New Roman" w:hAnsi="Times New Roman" w:cs="David"/>
      <w:noProof/>
      <w:sz w:val="24"/>
      <w:szCs w:val="24"/>
    </w:rPr>
  </w:style>
  <w:style w:type="paragraph" w:customStyle="1" w:styleId="5473FE7C595245C8BEE4CA2D0F061B7B1">
    <w:name w:val="5473FE7C595245C8BEE4CA2D0F061B7B1"/>
    <w:rsid w:val="00D7301D"/>
    <w:pPr>
      <w:bidi/>
      <w:spacing w:after="0" w:line="240" w:lineRule="auto"/>
    </w:pPr>
    <w:rPr>
      <w:rFonts w:ascii="Times New Roman" w:eastAsia="Times New Roman" w:hAnsi="Times New Roman" w:cs="David"/>
      <w:noProof/>
      <w:sz w:val="24"/>
      <w:szCs w:val="24"/>
    </w:rPr>
  </w:style>
  <w:style w:type="paragraph" w:customStyle="1" w:styleId="ADEDB763A47342BE935031C46C6E1DBA1">
    <w:name w:val="ADEDB763A47342BE935031C46C6E1DBA1"/>
    <w:rsid w:val="00D7301D"/>
    <w:pPr>
      <w:bidi/>
      <w:spacing w:after="0" w:line="240" w:lineRule="auto"/>
    </w:pPr>
    <w:rPr>
      <w:rFonts w:ascii="Times New Roman" w:eastAsia="Times New Roman" w:hAnsi="Times New Roman" w:cs="David"/>
      <w:noProof/>
      <w:sz w:val="24"/>
      <w:szCs w:val="24"/>
    </w:rPr>
  </w:style>
  <w:style w:type="paragraph" w:customStyle="1" w:styleId="CB819691CFD548BB8F799A9CD7AF0EA5">
    <w:name w:val="CB819691CFD548BB8F799A9CD7AF0EA5"/>
    <w:rsid w:val="00D7301D"/>
    <w:pPr>
      <w:bidi/>
      <w:spacing w:after="0" w:line="240" w:lineRule="auto"/>
    </w:pPr>
    <w:rPr>
      <w:rFonts w:ascii="Times New Roman" w:eastAsia="Times New Roman" w:hAnsi="Times New Roman" w:cs="David"/>
      <w:noProof/>
      <w:sz w:val="24"/>
      <w:szCs w:val="24"/>
    </w:rPr>
  </w:style>
  <w:style w:type="paragraph" w:customStyle="1" w:styleId="8EADD095B2E5406FBB493767F880C4E6">
    <w:name w:val="8EADD095B2E5406FBB493767F880C4E6"/>
    <w:rsid w:val="00D7301D"/>
    <w:pPr>
      <w:bidi/>
      <w:spacing w:after="0" w:line="240" w:lineRule="auto"/>
    </w:pPr>
    <w:rPr>
      <w:rFonts w:ascii="Times New Roman" w:eastAsia="Times New Roman" w:hAnsi="Times New Roman" w:cs="David"/>
      <w:noProof/>
      <w:sz w:val="24"/>
      <w:szCs w:val="24"/>
    </w:rPr>
  </w:style>
  <w:style w:type="paragraph" w:customStyle="1" w:styleId="6E5CCD4DB6BB447B8383D806E977B93211">
    <w:name w:val="6E5CCD4DB6BB447B8383D806E977B93211"/>
    <w:rsid w:val="009471B2"/>
    <w:pPr>
      <w:bidi/>
      <w:spacing w:after="0" w:line="240" w:lineRule="auto"/>
    </w:pPr>
    <w:rPr>
      <w:rFonts w:ascii="Times New Roman" w:eastAsia="Times New Roman" w:hAnsi="Times New Roman" w:cs="David"/>
      <w:noProof/>
      <w:sz w:val="24"/>
      <w:szCs w:val="24"/>
    </w:rPr>
  </w:style>
  <w:style w:type="paragraph" w:customStyle="1" w:styleId="5473FE7C595245C8BEE4CA2D0F061B7B2">
    <w:name w:val="5473FE7C595245C8BEE4CA2D0F061B7B2"/>
    <w:rsid w:val="009471B2"/>
    <w:pPr>
      <w:bidi/>
      <w:spacing w:after="0" w:line="240" w:lineRule="auto"/>
    </w:pPr>
    <w:rPr>
      <w:rFonts w:ascii="Times New Roman" w:eastAsia="Times New Roman" w:hAnsi="Times New Roman" w:cs="David"/>
      <w:noProof/>
      <w:sz w:val="24"/>
      <w:szCs w:val="24"/>
    </w:rPr>
  </w:style>
  <w:style w:type="paragraph" w:customStyle="1" w:styleId="ADEDB763A47342BE935031C46C6E1DBA2">
    <w:name w:val="ADEDB763A47342BE935031C46C6E1DBA2"/>
    <w:rsid w:val="009471B2"/>
    <w:pPr>
      <w:bidi/>
      <w:spacing w:after="0" w:line="240" w:lineRule="auto"/>
    </w:pPr>
    <w:rPr>
      <w:rFonts w:ascii="Times New Roman" w:eastAsia="Times New Roman" w:hAnsi="Times New Roman" w:cs="David"/>
      <w:noProof/>
      <w:sz w:val="24"/>
      <w:szCs w:val="24"/>
    </w:rPr>
  </w:style>
  <w:style w:type="paragraph" w:customStyle="1" w:styleId="880A0838A4B741698D7843055E98B6DC">
    <w:name w:val="880A0838A4B741698D7843055E98B6DC"/>
    <w:rsid w:val="009471B2"/>
    <w:pPr>
      <w:bidi/>
      <w:spacing w:after="0" w:line="240" w:lineRule="auto"/>
    </w:pPr>
    <w:rPr>
      <w:rFonts w:ascii="Times New Roman" w:eastAsia="Times New Roman" w:hAnsi="Times New Roman" w:cs="David"/>
      <w:noProof/>
      <w:sz w:val="24"/>
      <w:szCs w:val="24"/>
    </w:rPr>
  </w:style>
  <w:style w:type="paragraph" w:customStyle="1" w:styleId="756B1ECE79634F2188B16D7B57FF740D">
    <w:name w:val="756B1ECE79634F2188B16D7B57FF740D"/>
    <w:rsid w:val="009471B2"/>
    <w:pPr>
      <w:bidi/>
      <w:spacing w:after="0" w:line="240" w:lineRule="auto"/>
    </w:pPr>
    <w:rPr>
      <w:rFonts w:ascii="Times New Roman" w:eastAsia="Times New Roman" w:hAnsi="Times New Roman" w:cs="David"/>
      <w:noProof/>
      <w:sz w:val="24"/>
      <w:szCs w:val="24"/>
    </w:rPr>
  </w:style>
  <w:style w:type="paragraph" w:customStyle="1" w:styleId="5CCD29C71CF8465198EB1FF210B13DC2">
    <w:name w:val="5CCD29C71CF8465198EB1FF210B13DC2"/>
    <w:rsid w:val="00C66752"/>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15405</Words>
  <Characters>77027</Characters>
  <Application>Microsoft Office Word</Application>
  <DocSecurity>0</DocSecurity>
  <Lines>641</Lines>
  <Paragraphs>184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92248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anatk</dc:creator>
  <cp:lastModifiedBy>User</cp:lastModifiedBy>
  <cp:revision>2</cp:revision>
  <dcterms:created xsi:type="dcterms:W3CDTF">2026-10-01T05:43:00Z</dcterms:created>
  <dcterms:modified xsi:type="dcterms:W3CDTF">2026-10-01T05:43:00Z</dcterms:modified>
</cp:coreProperties>
</file>